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header5.xml" ContentType="application/vnd.openxmlformats-officedocument.wordprocessingml.header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74"/>
        <w:jc w:val="right"/>
        <w:keepLines/>
        <w:keepNext/>
        <w:rPr>
          <w:sz w:val="26"/>
          <w:szCs w:val="26"/>
        </w:rPr>
      </w:pPr>
      <w:r>
        <w:rPr>
          <w:sz w:val="26"/>
          <w:szCs w:val="26"/>
        </w:rPr>
        <w:t xml:space="preserve">Приложение 1 к документации о закупке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74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74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74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74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74"/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pStyle w:val="774"/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pStyle w:val="774"/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pStyle w:val="774"/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pStyle w:val="774"/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pStyle w:val="774"/>
        <w:jc w:val="center"/>
        <w:keepLines/>
        <w:keepNext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</w:rPr>
      </w:r>
    </w:p>
    <w:p>
      <w:pPr>
        <w:pStyle w:val="774"/>
        <w:jc w:val="center"/>
        <w:keepLines/>
        <w:keepNext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</w:rPr>
      </w:r>
    </w:p>
    <w:p>
      <w:pPr>
        <w:pStyle w:val="774"/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  <w:t xml:space="preserve">Технические требования на оказание услуг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pStyle w:val="774"/>
        <w:jc w:val="center"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pStyle w:val="774"/>
        <w:jc w:val="center"/>
        <w:rPr>
          <w:rFonts w:eastAsia="Calibri"/>
          <w:b/>
          <w:bCs/>
        </w:rPr>
      </w:pPr>
      <w:r>
        <w:rPr>
          <w:rFonts w:eastAsia="Calibri"/>
          <w:b/>
        </w:rPr>
        <w:t xml:space="preserve">ОКПД2 71.20.19.190 Оказание услуг по комплексному диагностическому обследованию турбогенераторов ст. № 3, ст. № 5  для СП Амурская ТЭЦ-1, г. Амурск</w:t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pStyle w:val="774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pStyle w:val="774"/>
        <w:jc w:val="center"/>
        <w:rPr>
          <w:rFonts w:eastAsia="Calibri"/>
          <w:b/>
          <w:bCs/>
        </w:rPr>
      </w:pPr>
      <w:r>
        <w:rPr>
          <w:rFonts w:eastAsia="Calibri"/>
          <w:b/>
        </w:rPr>
        <w:t xml:space="preserve">Лот №  41027002-НИР ПРОД-2026-ДГК-АмТЭЦ1</w:t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pStyle w:val="774"/>
        <w:jc w:val="center"/>
        <w:keepLines/>
        <w:keepNext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</w:rPr>
      </w:r>
      <w:r>
        <w:rPr>
          <w:rFonts w:eastAsia="Calibri"/>
          <w:b/>
          <w:bCs/>
          <w:sz w:val="26"/>
          <w:szCs w:val="26"/>
        </w:rPr>
      </w:r>
    </w:p>
    <w:p>
      <w:pPr>
        <w:pStyle w:val="774"/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pStyle w:val="774"/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br w:type="page" w:clear="all"/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pStyle w:val="774"/>
        <w:jc w:val="center"/>
        <w:rPr>
          <w:b/>
        </w:rPr>
      </w:pPr>
      <w:r>
        <w:rPr>
          <w:b/>
        </w:rPr>
        <w:t xml:space="preserve">СОДЕРЖАНИЕ</w:t>
      </w:r>
      <w:r>
        <w:rPr>
          <w:b/>
        </w:rPr>
      </w:r>
      <w:r>
        <w:rPr>
          <w:b/>
        </w:rPr>
      </w:r>
    </w:p>
    <w:sdt>
      <w:sdtPr>
        <w15:appearance w15:val="boundingBox"/>
        <w:docPartObj>
          <w:docPartGallery w:val="Table of Contents"/>
          <w:docPartUnique w:val="true"/>
        </w:docPartObj>
        <w:rPr/>
      </w:sdtPr>
      <w:sdtContent>
        <w:p>
          <w:pPr>
            <w:pStyle w:val="854"/>
            <w:tabs>
              <w:tab w:val="left" w:pos="560" w:leader="none"/>
              <w:tab w:val="clear" w:pos="708" w:leader="none"/>
              <w:tab w:val="right" w:pos="9911" w:leader="dot"/>
            </w:tabs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pPr>
          <w:r>
            <w:fldChar w:fldCharType="begin"/>
          </w:r>
          <w:r>
            <w:rPr>
              <w:rStyle w:val="829"/>
              <w:rFonts w:eastAsia="Times New Roman" w:cs="Times New Roman"/>
              <w:vanish w:val="0"/>
              <w:sz w:val="24"/>
              <w:szCs w:val="24"/>
            </w:rPr>
            <w:instrText xml:space="preserve"> TOC \z \o "1-4" \u \h</w:instrText>
          </w:r>
          <w:r>
            <w:rPr>
              <w:rStyle w:val="829"/>
              <w:rFonts w:eastAsia="Times New Roman" w:cs="Times New Roman"/>
              <w:vanish w:val="0"/>
              <w:sz w:val="24"/>
              <w:szCs w:val="24"/>
            </w:rPr>
            <w:fldChar w:fldCharType="separate"/>
          </w:r>
          <w:hyperlink w:tooltip="#_Toc54646395" w:anchor="_Toc54646395" w:history="1">
            <w:r>
              <w:rPr>
                <w:rStyle w:val="829"/>
                <w:rFonts w:eastAsia="Times New Roman" w:cs="Times New Roman"/>
                <w:vanish w:val="0"/>
                <w:sz w:val="24"/>
                <w:szCs w:val="24"/>
              </w:rPr>
              <w:t xml:space="preserve">1.</w:t>
            </w:r>
            <w:r>
              <w:rPr>
                <w:rStyle w:val="829"/>
                <w:rFonts w:eastAsia="Arial" w:cs="Times New Roman" w:eastAsiaTheme="minorEastAsia"/>
                <w:b w:val="0"/>
                <w:bCs w:val="0"/>
                <w:sz w:val="24"/>
                <w:szCs w:val="24"/>
              </w:rPr>
              <w:tab/>
            </w:r>
            <w:r>
              <w:fldChar w:fldCharType="begin"/>
            </w:r>
            <w:r>
              <w:instrText xml:space="preserve">PAGEREF _Toc54646395 \h</w:instrText>
            </w:r>
            <w:r>
              <w:fldChar w:fldCharType="separate"/>
            </w:r>
            <w:r>
              <w:rPr>
                <w:rStyle w:val="829"/>
                <w:rFonts w:eastAsia="Times New Roman" w:cs="Times New Roman"/>
                <w:sz w:val="24"/>
                <w:szCs w:val="24"/>
              </w:rPr>
              <w:t xml:space="preserve">Общие сведения</w:t>
              <w:tab/>
              <w:t xml:space="preserve">3</w:t>
            </w:r>
            <w:r>
              <w:fldChar w:fldCharType="end"/>
            </w:r>
          </w:hyperlink>
          <w:r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r>
          <w:r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r>
        </w:p>
        <w:p>
          <w:pPr>
            <w:pStyle w:val="855"/>
            <w:tabs>
              <w:tab w:val="clear" w:pos="708" w:leader="none"/>
              <w:tab w:val="left" w:pos="1120" w:leader="none"/>
              <w:tab w:val="right" w:pos="9911" w:leader="dot"/>
            </w:tabs>
            <w:rPr>
              <w:rFonts w:ascii="Times New Roman" w:hAnsi="Times New Roman" w:cs="Times New Roman"/>
              <w:sz w:val="24"/>
              <w:szCs w:val="24"/>
            </w:rPr>
          </w:pPr>
          <w:r/>
          <w:hyperlink w:tooltip="#_Toc54646396" w:anchor="_Toc54646396" w:history="1">
            <w:r>
              <w:rPr>
                <w:rStyle w:val="829"/>
                <w:rFonts w:eastAsia="Times New Roman" w:cs="Times New Roman"/>
                <w:iCs/>
                <w:vanish w:val="0"/>
                <w:sz w:val="24"/>
                <w:szCs w:val="24"/>
              </w:rPr>
              <w:t xml:space="preserve">1.1.</w:t>
            </w:r>
            <w:r>
              <w:rPr>
                <w:rStyle w:val="829"/>
                <w:rFonts w:eastAsia="Arial" w:cs="Times New Roman" w:eastAsiaTheme="minorEastAsia"/>
                <w:sz w:val="24"/>
                <w:szCs w:val="24"/>
              </w:rPr>
              <w:tab/>
            </w:r>
            <w:r>
              <w:fldChar w:fldCharType="begin"/>
            </w:r>
            <w:r>
              <w:instrText xml:space="preserve">PAGEREF _Toc54646396 \h</w:instrText>
            </w:r>
            <w:r>
              <w:fldChar w:fldCharType="separate"/>
            </w:r>
            <w:r>
              <w:rPr>
                <w:rStyle w:val="829"/>
                <w:rFonts w:eastAsia="Times New Roman" w:cs="Times New Roman"/>
                <w:sz w:val="24"/>
                <w:szCs w:val="24"/>
              </w:rPr>
              <w:t xml:space="preserve">Обозначения и сокращения</w:t>
              <w:tab/>
              <w:t xml:space="preserve">3</w:t>
            </w:r>
            <w:r>
              <w:fldChar w:fldCharType="end"/>
            </w:r>
          </w:hyperlink>
          <w:r>
            <w:rPr>
              <w:rFonts w:ascii="Times New Roman" w:hAnsi="Times New Roman" w:cs="Times New Roman"/>
              <w:sz w:val="24"/>
              <w:szCs w:val="24"/>
            </w:rPr>
          </w:r>
          <w:r>
            <w:rPr>
              <w:rFonts w:ascii="Times New Roman" w:hAnsi="Times New Roman" w:cs="Times New Roman"/>
              <w:sz w:val="24"/>
              <w:szCs w:val="24"/>
            </w:rPr>
          </w:r>
        </w:p>
        <w:p>
          <w:pPr>
            <w:pStyle w:val="855"/>
            <w:tabs>
              <w:tab w:val="clear" w:pos="708" w:leader="none"/>
              <w:tab w:val="left" w:pos="1120" w:leader="none"/>
              <w:tab w:val="right" w:pos="9911" w:leader="dot"/>
            </w:tabs>
            <w:rPr>
              <w:rFonts w:ascii="Times New Roman" w:hAnsi="Times New Roman" w:cs="Times New Roman"/>
              <w:sz w:val="24"/>
              <w:szCs w:val="24"/>
            </w:rPr>
          </w:pPr>
          <w:r/>
          <w:hyperlink w:tooltip="#_Toc54646397" w:anchor="_Toc54646397" w:history="1">
            <w:r>
              <w:rPr>
                <w:rStyle w:val="829"/>
                <w:rFonts w:eastAsia="Times New Roman" w:cs="Times New Roman"/>
                <w:iCs/>
                <w:vanish w:val="0"/>
                <w:sz w:val="24"/>
                <w:szCs w:val="24"/>
              </w:rPr>
              <w:t xml:space="preserve">1.2.</w:t>
            </w:r>
            <w:r>
              <w:rPr>
                <w:rStyle w:val="829"/>
                <w:rFonts w:eastAsia="Arial" w:cs="Times New Roman" w:eastAsiaTheme="minorEastAsia"/>
                <w:sz w:val="24"/>
                <w:szCs w:val="24"/>
              </w:rPr>
              <w:tab/>
            </w:r>
            <w:r>
              <w:fldChar w:fldCharType="begin"/>
            </w:r>
            <w:r>
              <w:instrText xml:space="preserve">PAGEREF _Toc54646397 \h</w:instrText>
            </w:r>
            <w:r>
              <w:fldChar w:fldCharType="separate"/>
            </w:r>
            <w:r>
              <w:rPr>
                <w:rStyle w:val="829"/>
                <w:rFonts w:eastAsia="Times New Roman" w:cs="Times New Roman"/>
                <w:sz w:val="24"/>
                <w:szCs w:val="24"/>
              </w:rPr>
              <w:t xml:space="preserve">Наименование закупаемой продукции</w:t>
              <w:tab/>
              <w:t xml:space="preserve">4</w:t>
            </w:r>
            <w:r>
              <w:fldChar w:fldCharType="end"/>
            </w:r>
          </w:hyperlink>
          <w:r>
            <w:rPr>
              <w:rFonts w:ascii="Times New Roman" w:hAnsi="Times New Roman" w:cs="Times New Roman"/>
              <w:sz w:val="24"/>
              <w:szCs w:val="24"/>
            </w:rPr>
          </w:r>
          <w:r>
            <w:rPr>
              <w:rFonts w:ascii="Times New Roman" w:hAnsi="Times New Roman" w:cs="Times New Roman"/>
              <w:sz w:val="24"/>
              <w:szCs w:val="24"/>
            </w:rPr>
          </w:r>
        </w:p>
        <w:p>
          <w:pPr>
            <w:pStyle w:val="855"/>
            <w:tabs>
              <w:tab w:val="clear" w:pos="708" w:leader="none"/>
              <w:tab w:val="left" w:pos="1120" w:leader="none"/>
              <w:tab w:val="right" w:pos="9911" w:leader="dot"/>
            </w:tabs>
            <w:rPr>
              <w:rFonts w:ascii="Times New Roman" w:hAnsi="Times New Roman" w:cs="Times New Roman"/>
              <w:sz w:val="24"/>
              <w:szCs w:val="24"/>
            </w:rPr>
          </w:pPr>
          <w:r/>
          <w:hyperlink w:tooltip="#_Toc54646398" w:anchor="_Toc54646398" w:history="1">
            <w:r>
              <w:rPr>
                <w:rStyle w:val="829"/>
                <w:rFonts w:eastAsia="Times New Roman" w:cs="Times New Roman"/>
                <w:iCs/>
                <w:vanish w:val="0"/>
                <w:sz w:val="24"/>
                <w:szCs w:val="24"/>
              </w:rPr>
              <w:t xml:space="preserve">1.3.</w:t>
            </w:r>
            <w:r>
              <w:rPr>
                <w:rStyle w:val="829"/>
                <w:rFonts w:eastAsia="Arial" w:cs="Times New Roman" w:eastAsiaTheme="minorEastAsia"/>
                <w:sz w:val="24"/>
                <w:szCs w:val="24"/>
              </w:rPr>
              <w:tab/>
            </w:r>
            <w:r>
              <w:fldChar w:fldCharType="begin"/>
            </w:r>
            <w:r>
              <w:instrText xml:space="preserve">PAGEREF _Toc54646398 \h</w:instrText>
            </w:r>
            <w:r>
              <w:fldChar w:fldCharType="separate"/>
            </w:r>
            <w:r>
              <w:rPr>
                <w:rStyle w:val="829"/>
                <w:rFonts w:eastAsia="Times New Roman" w:cs="Times New Roman"/>
                <w:sz w:val="24"/>
                <w:szCs w:val="24"/>
              </w:rPr>
              <w:t xml:space="preserve">Цель выполнения работ </w:t>
              <w:tab/>
              <w:t xml:space="preserve">4</w:t>
            </w:r>
            <w:r>
              <w:fldChar w:fldCharType="end"/>
            </w:r>
          </w:hyperlink>
          <w:r>
            <w:rPr>
              <w:rFonts w:ascii="Times New Roman" w:hAnsi="Times New Roman" w:cs="Times New Roman"/>
              <w:sz w:val="24"/>
              <w:szCs w:val="24"/>
            </w:rPr>
          </w:r>
          <w:r>
            <w:rPr>
              <w:rFonts w:ascii="Times New Roman" w:hAnsi="Times New Roman" w:cs="Times New Roman"/>
              <w:sz w:val="24"/>
              <w:szCs w:val="24"/>
            </w:rPr>
          </w:r>
        </w:p>
        <w:p>
          <w:pPr>
            <w:pStyle w:val="854"/>
            <w:ind w:firstLine="567"/>
            <w:tabs>
              <w:tab w:val="clear" w:pos="708" w:leader="none"/>
              <w:tab w:val="right" w:pos="9911" w:leader="dot"/>
            </w:tabs>
            <w:rPr>
              <w:rFonts w:ascii="Times New Roman" w:hAnsi="Times New Roman" w:cs="Times New Roman"/>
              <w:sz w:val="24"/>
              <w:szCs w:val="24"/>
            </w:rPr>
          </w:pPr>
          <w:r/>
          <w:hyperlink w:tooltip="#_Toc54646400" w:anchor="_Toc54646400" w:history="1">
            <w:r>
              <w:fldChar w:fldCharType="begin"/>
            </w:r>
            <w:r>
              <w:instrText xml:space="preserve">PAGEREF _Toc54646400 \h</w:instrText>
            </w:r>
            <w:r>
              <w:fldChar w:fldCharType="separate"/>
            </w:r>
            <w:r>
              <w:rPr>
                <w:rStyle w:val="829"/>
                <w:rFonts w:eastAsia="Times New Roman" w:cs="Times New Roman"/>
                <w:vanish w:val="0"/>
                <w:sz w:val="24"/>
                <w:szCs w:val="24"/>
              </w:rPr>
              <w:t xml:space="preserve">Таблица 1. Перечень объектов заказчика</w:t>
              <w:tab/>
              <w:t xml:space="preserve">4</w:t>
            </w:r>
            <w:r>
              <w:fldChar w:fldCharType="end"/>
            </w:r>
          </w:hyperlink>
          <w:r>
            <w:rPr>
              <w:rFonts w:ascii="Times New Roman" w:hAnsi="Times New Roman" w:cs="Times New Roman"/>
              <w:sz w:val="24"/>
              <w:szCs w:val="24"/>
            </w:rPr>
          </w:r>
          <w:r>
            <w:rPr>
              <w:rFonts w:ascii="Times New Roman" w:hAnsi="Times New Roman" w:cs="Times New Roman"/>
              <w:sz w:val="24"/>
              <w:szCs w:val="24"/>
            </w:rPr>
          </w:r>
        </w:p>
        <w:p>
          <w:pPr>
            <w:pStyle w:val="774"/>
            <w:ind w:left="0" w:right="0" w:firstLine="567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eastAsia="Times New Roman" w:cs="Times New Roman"/>
              <w:sz w:val="24"/>
              <w:szCs w:val="24"/>
            </w:rPr>
            <w:t xml:space="preserve">1.4.</w:t>
            <w:tab/>
            <w:t xml:space="preserve">Информация в отношении исполнения договора, которая должна быть учтена при подготовке заявки  (в том числе перечень ресурсов, услуг и документов, предоставляемых заказчиком на этапе исполнения договора……………………………………………………   ……4</w:t>
          </w:r>
          <w:r>
            <w:rPr>
              <w:rFonts w:ascii="Times New Roman" w:hAnsi="Times New Roman" w:cs="Times New Roman"/>
              <w:sz w:val="24"/>
              <w:szCs w:val="24"/>
            </w:rPr>
          </w:r>
          <w:r>
            <w:rPr>
              <w:rFonts w:ascii="Times New Roman" w:hAnsi="Times New Roman" w:cs="Times New Roman"/>
              <w:sz w:val="24"/>
              <w:szCs w:val="24"/>
            </w:rPr>
          </w:r>
        </w:p>
        <w:p>
          <w:pPr>
            <w:pStyle w:val="774"/>
            <w:ind w:left="0" w:right="0" w:firstLine="567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eastAsia="Times New Roman" w:cs="Times New Roman"/>
              <w:sz w:val="24"/>
              <w:szCs w:val="24"/>
            </w:rPr>
            <w:t xml:space="preserve">1.4.1 Заказчик предоставит подрядчику:                                                                                     4</w:t>
          </w:r>
          <w:r>
            <w:rPr>
              <w:rFonts w:ascii="Times New Roman" w:hAnsi="Times New Roman" w:cs="Times New Roman"/>
              <w:sz w:val="24"/>
              <w:szCs w:val="24"/>
            </w:rPr>
          </w:r>
          <w:r>
            <w:rPr>
              <w:rFonts w:ascii="Times New Roman" w:hAnsi="Times New Roman" w:cs="Times New Roman"/>
              <w:sz w:val="24"/>
              <w:szCs w:val="24"/>
            </w:rPr>
          </w:r>
        </w:p>
        <w:p>
          <w:pPr>
            <w:pStyle w:val="854"/>
            <w:tabs>
              <w:tab w:val="left" w:pos="560" w:leader="none"/>
              <w:tab w:val="clear" w:pos="708" w:leader="none"/>
              <w:tab w:val="right" w:pos="9781" w:leader="dot"/>
            </w:tabs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pPr>
          <w:r/>
          <w:hyperlink w:tooltip="#_Toc54646403" w:anchor="_Toc54646403" w:history="1">
            <w:r>
              <w:rPr>
                <w:rStyle w:val="829"/>
                <w:rFonts w:eastAsia="Times New Roman" w:cs="Times New Roman"/>
                <w:vanish w:val="0"/>
                <w:sz w:val="24"/>
                <w:szCs w:val="24"/>
              </w:rPr>
              <w:t xml:space="preserve">2.</w:t>
            </w:r>
            <w:r>
              <w:rPr>
                <w:rStyle w:val="829"/>
                <w:rFonts w:eastAsia="Arial" w:cs="Times New Roman" w:eastAsiaTheme="minorEastAsia"/>
                <w:b w:val="0"/>
                <w:bCs w:val="0"/>
                <w:sz w:val="24"/>
                <w:szCs w:val="24"/>
              </w:rPr>
              <w:tab/>
            </w:r>
            <w:r>
              <w:rPr>
                <w:rStyle w:val="829"/>
                <w:rFonts w:eastAsia="Times New Roman" w:cs="Times New Roman"/>
                <w:iCs/>
                <w:sz w:val="24"/>
                <w:szCs w:val="24"/>
              </w:rPr>
              <w:t xml:space="preserve">Требования к продукции</w:t>
            </w:r>
            <w:r>
              <w:rPr>
                <w:rStyle w:val="829"/>
                <w:rFonts w:eastAsia="Times New Roman" w:cs="Times New Roman"/>
                <w:sz w:val="24"/>
                <w:szCs w:val="24"/>
              </w:rPr>
              <w:tab/>
            </w:r>
          </w:hyperlink>
          <w:r>
            <w:rPr>
              <w:rFonts w:eastAsia="Times New Roman" w:cs="Times New Roman"/>
              <w:sz w:val="24"/>
              <w:szCs w:val="24"/>
            </w:rPr>
            <w:t xml:space="preserve">4</w:t>
          </w:r>
          <w:r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r>
          <w:r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r>
        </w:p>
        <w:p>
          <w:pPr>
            <w:pStyle w:val="855"/>
            <w:tabs>
              <w:tab w:val="clear" w:pos="708" w:leader="none"/>
              <w:tab w:val="left" w:pos="1120" w:leader="none"/>
              <w:tab w:val="right" w:pos="9911" w:leader="dot"/>
            </w:tabs>
            <w:rPr>
              <w:rFonts w:ascii="Times New Roman" w:hAnsi="Times New Roman" w:cs="Times New Roman"/>
              <w:sz w:val="24"/>
              <w:szCs w:val="24"/>
            </w:rPr>
          </w:pPr>
          <w:r/>
          <w:hyperlink w:tooltip="#_Toc54646404" w:anchor="_Toc54646404" w:history="1">
            <w:r>
              <w:rPr>
                <w:rStyle w:val="829"/>
                <w:rFonts w:eastAsia="Times New Roman" w:cs="Times New Roman"/>
                <w:iCs/>
                <w:vanish w:val="0"/>
                <w:sz w:val="24"/>
                <w:szCs w:val="24"/>
              </w:rPr>
              <w:t xml:space="preserve">2.1.</w:t>
            </w:r>
            <w:r>
              <w:rPr>
                <w:rStyle w:val="829"/>
                <w:rFonts w:eastAsia="Arial" w:cs="Times New Roman" w:eastAsiaTheme="minorEastAsia"/>
                <w:sz w:val="24"/>
                <w:szCs w:val="24"/>
              </w:rPr>
              <w:tab/>
            </w:r>
            <w:r>
              <w:fldChar w:fldCharType="begin"/>
            </w:r>
            <w:r>
              <w:instrText xml:space="preserve">PAGEREF _Toc54646404 \h</w:instrText>
            </w:r>
            <w:r>
              <w:fldChar w:fldCharType="separate"/>
            </w:r>
            <w:r>
              <w:rPr>
                <w:rStyle w:val="829"/>
                <w:rFonts w:eastAsia="Times New Roman" w:cs="Times New Roman"/>
                <w:sz w:val="24"/>
                <w:szCs w:val="24"/>
              </w:rPr>
              <w:t xml:space="preserve">Требования к объемам и срокам выполнения работ</w:t>
              <w:tab/>
              <w:t xml:space="preserve">4</w:t>
            </w:r>
            <w:r>
              <w:fldChar w:fldCharType="end"/>
            </w:r>
          </w:hyperlink>
          <w:r>
            <w:rPr>
              <w:rFonts w:ascii="Times New Roman" w:hAnsi="Times New Roman" w:cs="Times New Roman"/>
              <w:sz w:val="24"/>
              <w:szCs w:val="24"/>
            </w:rPr>
          </w:r>
          <w:r>
            <w:rPr>
              <w:rFonts w:ascii="Times New Roman" w:hAnsi="Times New Roman" w:cs="Times New Roman"/>
              <w:sz w:val="24"/>
              <w:szCs w:val="24"/>
            </w:rPr>
          </w:r>
        </w:p>
        <w:p>
          <w:pPr>
            <w:pStyle w:val="854"/>
            <w:ind w:firstLine="567"/>
            <w:tabs>
              <w:tab w:val="clear" w:pos="708" w:leader="none"/>
              <w:tab w:val="right" w:pos="9911" w:leader="dot"/>
            </w:tabs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pPr>
          <w:r/>
          <w:hyperlink w:tooltip="#_Toc54646406" w:anchor="_Toc54646406" w:history="1">
            <w:r>
              <w:fldChar w:fldCharType="begin"/>
            </w:r>
            <w:r>
              <w:instrText xml:space="preserve">PAGEREF _Toc54646406 \h</w:instrText>
            </w:r>
            <w:r>
              <w:fldChar w:fldCharType="separate"/>
            </w:r>
            <w:r>
              <w:rPr>
                <w:rStyle w:val="829"/>
                <w:rFonts w:eastAsia="Times New Roman" w:cs="Times New Roman"/>
                <w:vanish w:val="0"/>
                <w:sz w:val="24"/>
                <w:szCs w:val="24"/>
              </w:rPr>
              <w:t xml:space="preserve">Таблица 2. Перечень и объем выполняемых работ</w:t>
              <w:tab/>
              <w:t xml:space="preserve">4</w:t>
            </w:r>
            <w:r>
              <w:fldChar w:fldCharType="end"/>
            </w:r>
          </w:hyperlink>
          <w:r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r>
          <w:r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r>
        </w:p>
        <w:p>
          <w:pPr>
            <w:pStyle w:val="854"/>
            <w:ind w:firstLine="567"/>
            <w:tabs>
              <w:tab w:val="clear" w:pos="708" w:leader="none"/>
              <w:tab w:val="right" w:pos="9911" w:leader="dot"/>
            </w:tabs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pPr>
          <w:r/>
          <w:hyperlink w:tooltip="#_Toc54646408" w:anchor="_Toc54646408" w:history="1">
            <w:r>
              <w:fldChar w:fldCharType="begin"/>
            </w:r>
            <w:r>
              <w:instrText xml:space="preserve">PAGEREF _Toc54646408 \h</w:instrText>
            </w:r>
            <w:r>
              <w:fldChar w:fldCharType="separate"/>
            </w:r>
            <w:r>
              <w:rPr>
                <w:rStyle w:val="829"/>
                <w:rFonts w:eastAsia="Times New Roman" w:cs="Times New Roman"/>
                <w:vanish w:val="0"/>
                <w:sz w:val="24"/>
                <w:szCs w:val="24"/>
              </w:rPr>
              <w:t xml:space="preserve">Таблица 3. Требования по срокам выполнения работ</w:t>
              <w:tab/>
              <w:t xml:space="preserve">5</w:t>
            </w:r>
            <w:r>
              <w:fldChar w:fldCharType="end"/>
            </w:r>
          </w:hyperlink>
          <w:r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r>
          <w:r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r>
        </w:p>
        <w:p>
          <w:pPr>
            <w:pStyle w:val="855"/>
            <w:tabs>
              <w:tab w:val="clear" w:pos="708" w:leader="none"/>
              <w:tab w:val="left" w:pos="1120" w:leader="none"/>
              <w:tab w:val="right" w:pos="9911" w:leader="dot"/>
            </w:tabs>
            <w:rPr>
              <w:rFonts w:ascii="Times New Roman" w:hAnsi="Times New Roman" w:cs="Times New Roman"/>
              <w:sz w:val="24"/>
              <w:szCs w:val="24"/>
            </w:rPr>
          </w:pPr>
          <w:r/>
          <w:hyperlink w:tooltip="#_Toc54646409" w:anchor="_Toc54646409" w:history="1">
            <w:r>
              <w:rPr>
                <w:rStyle w:val="829"/>
                <w:rFonts w:eastAsia="Times New Roman" w:cs="Times New Roman"/>
                <w:iCs/>
                <w:vanish w:val="0"/>
                <w:sz w:val="24"/>
                <w:szCs w:val="24"/>
              </w:rPr>
              <w:t xml:space="preserve">2.2.</w:t>
            </w:r>
            <w:r>
              <w:rPr>
                <w:rStyle w:val="829"/>
                <w:rFonts w:eastAsia="Arial" w:cs="Times New Roman" w:eastAsiaTheme="minorEastAsia"/>
                <w:sz w:val="24"/>
                <w:szCs w:val="24"/>
              </w:rPr>
              <w:tab/>
            </w:r>
            <w:r>
              <w:fldChar w:fldCharType="begin"/>
            </w:r>
            <w:r>
              <w:instrText xml:space="preserve">PAGEREF _Toc54646409 \h</w:instrText>
            </w:r>
            <w:r>
              <w:fldChar w:fldCharType="separate"/>
            </w:r>
            <w:r>
              <w:rPr>
                <w:rStyle w:val="829"/>
                <w:rFonts w:eastAsia="Times New Roman" w:cs="Times New Roman"/>
                <w:sz w:val="24"/>
                <w:szCs w:val="24"/>
              </w:rPr>
              <w:t xml:space="preserve">Требования к качеству работ</w:t>
              <w:tab/>
              <w:t xml:space="preserve">6</w:t>
            </w:r>
            <w:r>
              <w:fldChar w:fldCharType="end"/>
            </w:r>
          </w:hyperlink>
          <w:r>
            <w:rPr>
              <w:rFonts w:ascii="Times New Roman" w:hAnsi="Times New Roman" w:cs="Times New Roman"/>
              <w:sz w:val="24"/>
              <w:szCs w:val="24"/>
            </w:rPr>
          </w:r>
          <w:r>
            <w:rPr>
              <w:rFonts w:ascii="Times New Roman" w:hAnsi="Times New Roman" w:cs="Times New Roman"/>
              <w:sz w:val="24"/>
              <w:szCs w:val="24"/>
            </w:rPr>
          </w:r>
        </w:p>
        <w:p>
          <w:pPr>
            <w:pStyle w:val="854"/>
            <w:ind w:firstLine="567"/>
            <w:tabs>
              <w:tab w:val="clear" w:pos="708" w:leader="none"/>
              <w:tab w:val="right" w:pos="9911" w:leader="dot"/>
            </w:tabs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pPr>
          <w:r/>
          <w:hyperlink w:tooltip="#_Toc54646410" w:anchor="_Toc54646410" w:history="1">
            <w:r>
              <w:fldChar w:fldCharType="begin"/>
            </w:r>
            <w:r>
              <w:instrText xml:space="preserve">PAGEREF _Toc54646410 \h</w:instrText>
            </w:r>
            <w:r>
              <w:fldChar w:fldCharType="separate"/>
            </w:r>
            <w:r>
              <w:rPr>
                <w:rStyle w:val="829"/>
                <w:rFonts w:eastAsia="Times New Roman" w:cs="Times New Roman"/>
                <w:vanish w:val="0"/>
                <w:sz w:val="24"/>
                <w:szCs w:val="24"/>
              </w:rPr>
              <w:t xml:space="preserve">Таблица 4. Требования к качеству работ</w:t>
              <w:tab/>
              <w:t xml:space="preserve">6</w:t>
            </w:r>
            <w:r>
              <w:fldChar w:fldCharType="end"/>
            </w:r>
          </w:hyperlink>
          <w:r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r>
          <w:r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r>
        </w:p>
        <w:p>
          <w:pPr>
            <w:pStyle w:val="854"/>
            <w:tabs>
              <w:tab w:val="left" w:pos="560" w:leader="none"/>
              <w:tab w:val="clear" w:pos="708" w:leader="none"/>
              <w:tab w:val="right" w:pos="9911" w:leader="dot"/>
            </w:tabs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pPr>
          <w:r/>
          <w:hyperlink w:tooltip="#_Toc54646411" w:anchor="_Toc54646411" w:history="1">
            <w:r>
              <w:rPr>
                <w:rStyle w:val="829"/>
                <w:rFonts w:eastAsia="Times New Roman" w:cs="Times New Roman"/>
                <w:vanish w:val="0"/>
                <w:sz w:val="24"/>
                <w:szCs w:val="24"/>
              </w:rPr>
              <w:t xml:space="preserve">3.</w:t>
            </w:r>
            <w:r>
              <w:rPr>
                <w:rStyle w:val="829"/>
                <w:rFonts w:eastAsia="Arial" w:cs="Times New Roman" w:eastAsiaTheme="minorEastAsia"/>
                <w:b w:val="0"/>
                <w:bCs w:val="0"/>
                <w:sz w:val="24"/>
                <w:szCs w:val="24"/>
              </w:rPr>
              <w:tab/>
            </w:r>
            <w:r>
              <w:rPr>
                <w:rStyle w:val="829"/>
                <w:rFonts w:eastAsia="Times New Roman" w:cs="Times New Roman"/>
                <w:sz w:val="24"/>
                <w:szCs w:val="24"/>
              </w:rPr>
              <w:t xml:space="preserve">Требования к документации по ценообразованию на этапе закупки</w:t>
              <w:tab/>
            </w:r>
          </w:hyperlink>
          <w:r>
            <w:rPr>
              <w:rFonts w:eastAsia="Arial" w:cs="Times New Roman" w:eastAsiaTheme="minorEastAsia"/>
              <w:b/>
              <w:bCs/>
              <w:sz w:val="24"/>
              <w:szCs w:val="24"/>
            </w:rPr>
            <w:t xml:space="preserve">20</w:t>
          </w:r>
          <w:r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r>
          <w:r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r>
        </w:p>
        <w:p>
          <w:pPr>
            <w:pStyle w:val="854"/>
            <w:tabs>
              <w:tab w:val="left" w:pos="560" w:leader="none"/>
              <w:tab w:val="clear" w:pos="708" w:leader="none"/>
              <w:tab w:val="right" w:pos="9911" w:leader="dot"/>
            </w:tabs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pPr>
          <w:r/>
          <w:hyperlink w:tooltip="#_Toc54646412" w:anchor="_Toc54646412" w:history="1">
            <w:r>
              <w:rPr>
                <w:rStyle w:val="829"/>
                <w:rFonts w:eastAsia="Times New Roman" w:cs="Times New Roman"/>
                <w:vanish w:val="0"/>
                <w:sz w:val="24"/>
                <w:szCs w:val="24"/>
              </w:rPr>
              <w:t xml:space="preserve">4.</w:t>
            </w:r>
            <w:r>
              <w:rPr>
                <w:rStyle w:val="829"/>
                <w:rFonts w:eastAsia="Arial" w:cs="Times New Roman" w:eastAsiaTheme="minorEastAsia"/>
                <w:b w:val="0"/>
                <w:bCs w:val="0"/>
                <w:sz w:val="24"/>
                <w:szCs w:val="24"/>
              </w:rPr>
              <w:tab/>
            </w:r>
            <w:r>
              <w:fldChar w:fldCharType="begin"/>
            </w:r>
            <w:r>
              <w:instrText xml:space="preserve">PAGEREF _Toc54646412 \h</w:instrText>
            </w:r>
            <w:r>
              <w:fldChar w:fldCharType="separate"/>
            </w:r>
            <w:r>
              <w:rPr>
                <w:rStyle w:val="829"/>
                <w:rFonts w:eastAsia="Times New Roman" w:cs="Times New Roman"/>
                <w:sz w:val="24"/>
                <w:szCs w:val="24"/>
              </w:rPr>
              <w:t xml:space="preserve">Требования к документации по ценообразованию на этапе заключения (исполнения) договора</w:t>
              <w:tab/>
              <w:t xml:space="preserve">20</w:t>
            </w:r>
            <w:r>
              <w:fldChar w:fldCharType="end"/>
            </w:r>
          </w:hyperlink>
          <w:r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r>
          <w:r>
            <w:rPr>
              <w:rFonts w:ascii="Times New Roman" w:hAnsi="Times New Roman" w:cs="Times New Roman"/>
              <w:b w:val="0"/>
              <w:bCs w:val="0"/>
              <w:sz w:val="24"/>
              <w:szCs w:val="24"/>
            </w:rPr>
          </w:r>
        </w:p>
        <w:p>
          <w:pPr>
            <w:pStyle w:val="774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eastAsia="Times New Roman" w:cs="Times New Roman"/>
              <w:sz w:val="24"/>
              <w:szCs w:val="24"/>
            </w:rPr>
            <w:t xml:space="preserve">5.     </w:t>
          </w:r>
          <w:r>
            <w:rPr>
              <w:rFonts w:eastAsia="Times New Roman" w:cs="Times New Roman"/>
              <w:b/>
              <w:bCs/>
              <w:sz w:val="24"/>
              <w:szCs w:val="24"/>
            </w:rPr>
            <w:t xml:space="preserve"> Приложения ..........................................................................................................................     .20</w:t>
          </w:r>
          <w:r>
            <w:rPr>
              <w:rFonts w:eastAsia="Times New Roman" w:cs="Times New Roman"/>
              <w:b/>
              <w:bCs/>
              <w:sz w:val="24"/>
              <w:szCs w:val="24"/>
            </w:rPr>
            <w:fldChar w:fldCharType="end"/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</w:r>
        </w:p>
      </w:sdtContent>
    </w:sdt>
    <w:p>
      <w:pPr>
        <w:pStyle w:val="774"/>
        <w:jc w:val="center"/>
        <w:keepLines/>
        <w:keepNext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pStyle w:val="774"/>
        <w:spacing w:before="0" w:after="160" w:line="259" w:lineRule="auto"/>
      </w:pPr>
      <w:r/>
      <w:r/>
    </w:p>
    <w:p>
      <w:pPr>
        <w:pStyle w:val="774"/>
        <w:spacing w:before="0" w:after="160" w:line="259" w:lineRule="auto"/>
        <w:rPr>
          <w:highlight w:val="none"/>
        </w:rPr>
      </w:pPr>
      <w:r>
        <w:br w:type="page" w:clear="all"/>
      </w:r>
      <w:r>
        <w:rPr>
          <w:highlight w:val="none"/>
        </w:rPr>
      </w:r>
      <w:r>
        <w:rPr>
          <w:highlight w:val="none"/>
        </w:rPr>
      </w:r>
    </w:p>
    <w:p>
      <w:pPr>
        <w:pStyle w:val="775"/>
        <w:numPr>
          <w:ilvl w:val="0"/>
          <w:numId w:val="1"/>
        </w:numPr>
        <w:ind w:left="357" w:hanging="357"/>
        <w:jc w:val="center"/>
        <w:keepLines/>
        <w:spacing w:before="120" w:after="0"/>
        <w:rPr>
          <w:caps/>
        </w:rPr>
      </w:pPr>
      <w:r/>
      <w:bookmarkStart w:id="0" w:name="_Toc54646395"/>
      <w:r/>
      <w:bookmarkStart w:id="1" w:name="_Toc51339692"/>
      <w:r>
        <w:t xml:space="preserve">Общие сведения</w:t>
      </w:r>
      <w:bookmarkEnd w:id="0"/>
      <w:r/>
      <w:bookmarkEnd w:id="1"/>
      <w:r>
        <w:rPr>
          <w:caps/>
        </w:rPr>
      </w:r>
      <w:r>
        <w:rPr>
          <w:caps/>
        </w:rPr>
      </w:r>
    </w:p>
    <w:p>
      <w:pPr>
        <w:pStyle w:val="778"/>
        <w:numPr>
          <w:ilvl w:val="1"/>
          <w:numId w:val="1"/>
        </w:numPr>
        <w:ind w:left="1224" w:hanging="432"/>
      </w:pPr>
      <w:r/>
      <w:bookmarkStart w:id="2" w:name="_Toc54646396"/>
      <w:r/>
      <w:bookmarkStart w:id="3" w:name="_Toc46743505"/>
      <w:r>
        <w:t xml:space="preserve">Обозначения и сокращения</w:t>
      </w:r>
      <w:bookmarkEnd w:id="2"/>
      <w:r/>
      <w:bookmarkEnd w:id="3"/>
      <w:r/>
      <w:r/>
    </w:p>
    <w:p>
      <w:pPr>
        <w:pStyle w:val="774"/>
        <w:rPr>
          <w:rStyle w:val="825"/>
          <w:b w:val="0"/>
          <w:bCs/>
          <w:iCs/>
          <w:sz w:val="26"/>
          <w:szCs w:val="26"/>
        </w:rPr>
      </w:pPr>
      <w:r>
        <w:rPr>
          <w:b w:val="0"/>
          <w:bCs/>
          <w:iCs/>
          <w:sz w:val="26"/>
          <w:szCs w:val="26"/>
        </w:rPr>
      </w:r>
      <w:r>
        <w:rPr>
          <w:rStyle w:val="825"/>
          <w:b w:val="0"/>
          <w:bCs/>
          <w:iCs/>
          <w:sz w:val="26"/>
          <w:szCs w:val="26"/>
        </w:rPr>
      </w:r>
      <w:r>
        <w:rPr>
          <w:rStyle w:val="825"/>
          <w:b w:val="0"/>
          <w:bCs/>
          <w:iCs/>
          <w:sz w:val="26"/>
          <w:szCs w:val="26"/>
        </w:rPr>
      </w:r>
    </w:p>
    <w:tbl>
      <w:tblPr>
        <w:tblW w:w="9783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915"/>
        <w:gridCol w:w="7868"/>
      </w:tblGrid>
      <w:tr>
        <w:tblPrEx/>
        <w:trPr>
          <w:trHeight w:val="26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textDirection w:val="lrTb"/>
            <w:noWrap w:val="false"/>
          </w:tcPr>
          <w:p>
            <w:pPr>
              <w:pStyle w:val="774"/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  <w:tab w:val="clear" w:pos="708" w:leader="none"/>
              </w:tabs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АО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8" w:type="dxa"/>
            <w:textDirection w:val="lrTb"/>
            <w:noWrap w:val="false"/>
          </w:tcPr>
          <w:p>
            <w:pPr>
              <w:pStyle w:val="774"/>
              <w:jc w:val="both"/>
              <w:spacing w:before="0" w:beforeAutospacing="0" w:after="0" w:afterAutospacing="0"/>
              <w:widowControl w:val="off"/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Акционерное общество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textDirection w:val="lrTb"/>
            <w:noWrap w:val="false"/>
          </w:tcPr>
          <w:p>
            <w:pPr>
              <w:pStyle w:val="774"/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  <w:tab w:val="clear" w:pos="708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НТД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8" w:type="dxa"/>
            <w:textDirection w:val="lrTb"/>
            <w:noWrap w:val="false"/>
          </w:tcPr>
          <w:p>
            <w:pPr>
              <w:pStyle w:val="774"/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  <w:tab w:val="clear" w:pos="708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Нормативно-техническая документация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textDirection w:val="lrTb"/>
            <w:noWrap w:val="false"/>
          </w:tcPr>
          <w:p>
            <w:pPr>
              <w:pStyle w:val="774"/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  <w:tab w:val="clear" w:pos="708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ОКПД2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8" w:type="dxa"/>
            <w:textDirection w:val="lrTb"/>
            <w:noWrap w:val="false"/>
          </w:tcPr>
          <w:p>
            <w:pPr>
              <w:pStyle w:val="774"/>
              <w:jc w:val="both"/>
              <w:spacing w:before="0" w:beforeAutospacing="0" w:after="0" w:afterAutospacing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Общероссийский классификатор продукции по видам экономической деятельности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textDirection w:val="lrTb"/>
            <w:noWrap w:val="false"/>
          </w:tcPr>
          <w:p>
            <w:pPr>
              <w:pStyle w:val="774"/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  <w:tab w:val="clear" w:pos="708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СНиП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8" w:type="dxa"/>
            <w:textDirection w:val="lrTb"/>
            <w:noWrap w:val="false"/>
          </w:tcPr>
          <w:p>
            <w:pPr>
              <w:pStyle w:val="774"/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  <w:tab w:val="clear" w:pos="708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Строительные нормы и правила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textDirection w:val="lrTb"/>
            <w:noWrap w:val="false"/>
          </w:tcPr>
          <w:p>
            <w:pPr>
              <w:pStyle w:val="774"/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  <w:tab w:val="clear" w:pos="708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СП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8" w:type="dxa"/>
            <w:textDirection w:val="lrTb"/>
            <w:noWrap w:val="false"/>
          </w:tcPr>
          <w:p>
            <w:pPr>
              <w:pStyle w:val="774"/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  <w:tab w:val="clear" w:pos="708" w:leader="none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Свод правил</w:t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textDirection w:val="lrTb"/>
            <w:noWrap w:val="false"/>
          </w:tcPr>
          <w:p>
            <w:pPr>
              <w:pStyle w:val="774"/>
              <w:spacing w:before="0" w:beforeAutospacing="0" w:after="0" w:afterAutospacing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pdf – portable document format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8" w:type="dxa"/>
            <w:textDirection w:val="lrTb"/>
            <w:noWrap w:val="false"/>
          </w:tcPr>
          <w:p>
            <w:pPr>
              <w:pStyle w:val="774"/>
              <w:spacing w:before="0" w:beforeAutospacing="0" w:after="0" w:afterAutospacing="0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формат файла электронного документа;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15" w:type="dxa"/>
            <w:textDirection w:val="lrTb"/>
            <w:noWrap w:val="false"/>
          </w:tcPr>
          <w:p>
            <w:pPr>
              <w:pStyle w:val="774"/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  <w:tab w:val="clear" w:pos="708" w:leader="none"/>
              </w:tabs>
              <w:rPr>
                <w:rStyle w:val="825"/>
                <w:b w:val="0"/>
                <w:bCs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ТТ</w:t>
            </w:r>
            <w:r>
              <w:rPr>
                <w:rStyle w:val="825"/>
                <w:b w:val="0"/>
                <w:bCs/>
                <w:iCs/>
                <w:sz w:val="24"/>
                <w:szCs w:val="24"/>
              </w:rPr>
            </w:r>
            <w:r>
              <w:rPr>
                <w:rStyle w:val="825"/>
                <w:b w:val="0"/>
                <w:bCs/>
                <w:i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868" w:type="dxa"/>
            <w:textDirection w:val="lrTb"/>
            <w:noWrap w:val="false"/>
          </w:tcPr>
          <w:p>
            <w:pPr>
              <w:pStyle w:val="774"/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  <w:tab w:val="clear" w:pos="708" w:leader="none"/>
              </w:tabs>
              <w:rPr>
                <w:rStyle w:val="825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Технические требования</w:t>
            </w:r>
            <w:r>
              <w:rPr>
                <w:rStyle w:val="825"/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rStyle w:val="825"/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</w:tbl>
    <w:p>
      <w:pPr>
        <w:pStyle w:val="774"/>
      </w:pPr>
      <w:r/>
      <w:r/>
    </w:p>
    <w:p>
      <w:pPr>
        <w:pStyle w:val="774"/>
        <w:spacing w:before="0" w:after="160" w:line="259" w:lineRule="auto"/>
      </w:pPr>
      <w:r>
        <w:br w:type="page" w:clear="all"/>
      </w:r>
      <w:r/>
    </w:p>
    <w:p>
      <w:pPr>
        <w:pStyle w:val="778"/>
        <w:numPr>
          <w:ilvl w:val="1"/>
          <w:numId w:val="1"/>
        </w:numPr>
        <w:ind w:left="1224" w:hanging="432"/>
      </w:pPr>
      <w:r/>
      <w:bookmarkStart w:id="4" w:name="_Toc54646397"/>
      <w:r>
        <w:t xml:space="preserve">Наименование закупаемой продукции</w:t>
      </w:r>
      <w:bookmarkEnd w:id="4"/>
      <w:r/>
      <w:r/>
    </w:p>
    <w:p>
      <w:pPr>
        <w:pStyle w:val="774"/>
        <w:ind w:firstLine="720"/>
        <w:jc w:val="both"/>
        <w:rPr>
          <w:rFonts w:eastAsia="Calibri"/>
          <w:b/>
          <w:bCs/>
          <w:i w:val="0"/>
          <w:iCs w:val="0"/>
        </w:rPr>
        <w:suppressLineNumbers w:val="0"/>
      </w:pPr>
      <w:r>
        <w:rPr>
          <w:rFonts w:eastAsia="Calibri"/>
          <w:b w:val="0"/>
          <w:bCs w:val="0"/>
          <w:i w:val="0"/>
          <w:iCs w:val="0"/>
          <w:sz w:val="24"/>
          <w:szCs w:val="24"/>
        </w:rPr>
        <w:t xml:space="preserve">ОКПД2 71.20.19.190 Оказание услуг по комплексному диагностическому обследованию турбогенераторов ст. № 3, ст. № 5  для СП Амурская ТЭЦ-1, г. Амурск.</w:t>
      </w:r>
      <w:r>
        <w:rPr>
          <w:rFonts w:eastAsia="Calibri"/>
          <w:b/>
          <w:bCs/>
          <w:i w:val="0"/>
          <w:iCs w:val="0"/>
        </w:rPr>
      </w:r>
      <w:r>
        <w:rPr>
          <w:rFonts w:eastAsia="Calibri"/>
          <w:b/>
          <w:bCs/>
          <w:i w:val="0"/>
          <w:iCs w:val="0"/>
        </w:rPr>
      </w:r>
    </w:p>
    <w:p>
      <w:pPr>
        <w:pStyle w:val="774"/>
        <w:ind w:firstLine="720"/>
        <w:jc w:val="center"/>
        <w:rPr>
          <w:rFonts w:eastAsia="Calibri"/>
          <w:b/>
          <w:bCs/>
          <w:i w:val="0"/>
          <w:iCs w:val="0"/>
        </w:rPr>
        <w:suppressLineNumbers w:val="0"/>
      </w:pPr>
      <w:r>
        <w:rPr>
          <w:rFonts w:eastAsia="Calibri"/>
          <w:b/>
          <w:bCs/>
          <w:i w:val="0"/>
          <w:iCs w:val="0"/>
        </w:rPr>
      </w:r>
      <w:r>
        <w:rPr>
          <w:rFonts w:eastAsia="Calibri"/>
          <w:b/>
          <w:bCs/>
          <w:i w:val="0"/>
          <w:iCs w:val="0"/>
        </w:rPr>
      </w:r>
      <w:r>
        <w:rPr>
          <w:rFonts w:eastAsia="Calibri"/>
          <w:b/>
          <w:bCs/>
          <w:i w:val="0"/>
          <w:iCs w:val="0"/>
        </w:rPr>
      </w:r>
    </w:p>
    <w:p>
      <w:pPr>
        <w:pStyle w:val="778"/>
        <w:numPr>
          <w:ilvl w:val="1"/>
          <w:numId w:val="1"/>
        </w:numPr>
        <w:ind w:left="1224" w:hanging="432"/>
        <w:rPr>
          <w:rStyle w:val="825"/>
          <w:b/>
        </w:rPr>
      </w:pPr>
      <w:r>
        <w:t xml:space="preserve">Цель выполнения работ </w:t>
      </w:r>
      <w:r>
        <w:rPr>
          <w:rStyle w:val="825"/>
          <w:b/>
        </w:rPr>
      </w:r>
      <w:r>
        <w:rPr>
          <w:rStyle w:val="825"/>
          <w:b/>
        </w:rPr>
      </w:r>
    </w:p>
    <w:p>
      <w:pPr>
        <w:pStyle w:val="774"/>
        <w:ind w:firstLine="720"/>
        <w:jc w:val="both"/>
        <w:rPr>
          <w:i w:val="0"/>
          <w:iCs w:val="0"/>
          <w:sz w:val="24"/>
          <w:szCs w:val="24"/>
          <w:highlight w:val="none"/>
        </w:rPr>
        <w:suppressLineNumbers w:val="0"/>
      </w:pPr>
      <w:r>
        <w:rPr>
          <w:i w:val="0"/>
          <w:iCs w:val="0"/>
          <w:sz w:val="24"/>
          <w:szCs w:val="24"/>
          <w:highlight w:val="white"/>
        </w:rPr>
        <w:t xml:space="preserve">Комплексное обследование направлено на обеспечение безопасной и эффективной работы энергетического оборудования, минимизацию рисков внеплановых остановок и повышение общей производительности электростанций.</w:t>
      </w:r>
      <w:r>
        <w:rPr>
          <w:i w:val="0"/>
          <w:iCs w:val="0"/>
          <w:sz w:val="24"/>
          <w:szCs w:val="24"/>
          <w:highlight w:val="none"/>
        </w:rPr>
      </w:r>
      <w:r>
        <w:rPr>
          <w:i w:val="0"/>
          <w:iCs w:val="0"/>
          <w:sz w:val="24"/>
          <w:szCs w:val="24"/>
          <w:highlight w:val="none"/>
        </w:rPr>
      </w:r>
    </w:p>
    <w:p>
      <w:pPr>
        <w:pStyle w:val="774"/>
        <w:jc w:val="both"/>
        <w:rPr>
          <w:bCs/>
          <w:i/>
          <w:sz w:val="24"/>
          <w:szCs w:val="24"/>
          <w:highlight w:val="white"/>
        </w:rPr>
      </w:pPr>
      <w:r>
        <w:rPr>
          <w:bCs/>
          <w:i/>
          <w:sz w:val="24"/>
          <w:szCs w:val="24"/>
          <w:highlight w:val="white"/>
        </w:rPr>
      </w:r>
      <w:r>
        <w:rPr>
          <w:bCs/>
          <w:i/>
          <w:sz w:val="24"/>
          <w:szCs w:val="24"/>
          <w:highlight w:val="white"/>
        </w:rPr>
      </w:r>
      <w:r>
        <w:rPr>
          <w:bCs/>
          <w:i/>
          <w:sz w:val="24"/>
          <w:szCs w:val="24"/>
          <w:highlight w:val="white"/>
        </w:rPr>
      </w:r>
    </w:p>
    <w:p>
      <w:pPr>
        <w:pStyle w:val="778"/>
        <w:numPr>
          <w:ilvl w:val="1"/>
          <w:numId w:val="1"/>
        </w:numPr>
        <w:ind w:left="1224" w:hanging="432"/>
        <w:rPr>
          <w:highlight w:val="white"/>
        </w:rPr>
      </w:pPr>
      <w:r/>
      <w:bookmarkStart w:id="5" w:name="undefined_Копия_1"/>
      <w:r/>
      <w:bookmarkStart w:id="6" w:name="undefined"/>
      <w:r/>
      <w:bookmarkEnd w:id="6"/>
      <w:r>
        <w:rPr>
          <w:highlight w:val="white"/>
        </w:rPr>
        <w:t xml:space="preserve">Существующее положение</w:t>
      </w:r>
      <w:bookmarkEnd w:id="5"/>
      <w:r>
        <w:rPr>
          <w:highlight w:val="white"/>
        </w:rPr>
      </w:r>
      <w:r>
        <w:rPr>
          <w:highlight w:val="white"/>
        </w:rPr>
      </w:r>
    </w:p>
    <w:p>
      <w:pPr>
        <w:pStyle w:val="774"/>
        <w:ind w:firstLine="720"/>
        <w:jc w:val="both"/>
        <w:rPr>
          <w:i w:val="0"/>
          <w:iCs w:val="0"/>
          <w:sz w:val="24"/>
          <w:szCs w:val="24"/>
          <w:highlight w:val="white"/>
        </w:rPr>
        <w:suppressLineNumbers w:val="0"/>
      </w:pPr>
      <w:r>
        <w:rPr>
          <w:i w:val="0"/>
          <w:iCs w:val="0"/>
          <w:sz w:val="24"/>
          <w:szCs w:val="24"/>
          <w:highlight w:val="white"/>
        </w:rPr>
        <w:t xml:space="preserve">1.4.1</w:t>
      </w:r>
      <w:r>
        <w:rPr>
          <w:i w:val="0"/>
          <w:iCs w:val="0"/>
          <w:highlight w:val="white"/>
        </w:rPr>
        <w:t xml:space="preserve"> </w:t>
      </w:r>
      <w:r>
        <w:rPr>
          <w:i w:val="0"/>
          <w:iCs w:val="0"/>
          <w:sz w:val="24"/>
          <w:szCs w:val="24"/>
          <w:highlight w:val="white"/>
        </w:rPr>
        <w:t xml:space="preserve">Амурская ТЭЦ </w:t>
      </w:r>
      <w:r>
        <w:rPr>
          <w:i w:val="0"/>
          <w:iCs w:val="0"/>
          <w:sz w:val="24"/>
          <w:szCs w:val="24"/>
          <w:highlight w:val="white"/>
        </w:rPr>
        <w:t xml:space="preserve">– структурное подразделение АО «Дальневосточная генерирующая компания» (АО «ДГК»), входящее в Группу РусГидро, действует на территории </w:t>
      </w:r>
      <w:r>
        <w:rPr>
          <w:i w:val="0"/>
          <w:iCs w:val="0"/>
          <w:sz w:val="24"/>
          <w:szCs w:val="22"/>
          <w:highlight w:val="white"/>
        </w:rPr>
        <w:t xml:space="preserve">Российская Федерация</w:t>
      </w:r>
      <w:r>
        <w:rPr>
          <w:i w:val="0"/>
          <w:iCs w:val="0"/>
          <w:sz w:val="24"/>
          <w:szCs w:val="24"/>
          <w:highlight w:val="white"/>
        </w:rPr>
        <w:t xml:space="preserve">, Хабаровский край, г. Амурск, ул. Западное шоссе, д. 10. </w:t>
      </w:r>
      <w:r>
        <w:rPr>
          <w:i w:val="0"/>
          <w:iCs w:val="0"/>
          <w:sz w:val="24"/>
          <w:szCs w:val="24"/>
          <w:highlight w:val="white"/>
        </w:rPr>
      </w:r>
      <w:r>
        <w:rPr>
          <w:i w:val="0"/>
          <w:iCs w:val="0"/>
          <w:sz w:val="24"/>
          <w:szCs w:val="24"/>
          <w:highlight w:val="white"/>
        </w:rPr>
      </w:r>
    </w:p>
    <w:p>
      <w:pPr>
        <w:pStyle w:val="774"/>
        <w:ind w:firstLine="720"/>
        <w:jc w:val="both"/>
        <w:rPr>
          <w:i w:val="0"/>
          <w:iCs w:val="0"/>
          <w:sz w:val="24"/>
          <w:szCs w:val="24"/>
          <w:highlight w:val="white"/>
        </w:rPr>
        <w:suppressLineNumbers w:val="0"/>
      </w:pPr>
      <w:r>
        <w:rPr>
          <w:i w:val="0"/>
          <w:iCs w:val="0"/>
          <w:sz w:val="24"/>
          <w:szCs w:val="24"/>
          <w:highlight w:val="white"/>
        </w:rPr>
        <w:t xml:space="preserve">Основные виды деятельности – производство электрической и тепловой энергии, транспортировка и реализация тепловой энергии населению и юридическим лицам.</w:t>
      </w:r>
      <w:r>
        <w:rPr>
          <w:i w:val="0"/>
          <w:iCs w:val="0"/>
          <w:sz w:val="24"/>
          <w:szCs w:val="24"/>
          <w:highlight w:val="white"/>
        </w:rPr>
      </w:r>
      <w:r>
        <w:rPr>
          <w:i w:val="0"/>
          <w:iCs w:val="0"/>
          <w:sz w:val="24"/>
          <w:szCs w:val="24"/>
          <w:highlight w:val="white"/>
        </w:rPr>
      </w:r>
    </w:p>
    <w:p>
      <w:pPr>
        <w:pStyle w:val="774"/>
        <w:ind w:firstLine="720"/>
        <w:jc w:val="both"/>
        <w:rPr>
          <w:i w:val="0"/>
          <w:iCs w:val="0"/>
          <w:sz w:val="24"/>
          <w:szCs w:val="24"/>
          <w:highlight w:val="white"/>
        </w:rPr>
        <w:suppressLineNumbers w:val="0"/>
      </w:pPr>
      <w:r>
        <w:rPr>
          <w:i w:val="0"/>
          <w:iCs w:val="0"/>
          <w:sz w:val="24"/>
          <w:szCs w:val="24"/>
          <w:highlight w:val="white"/>
        </w:rPr>
        <w:t xml:space="preserve">Амурская ТЭЦ представляет собой тепловую электростанцию с комбинированной выработкой электроэнергии и тепла. </w:t>
      </w:r>
      <w:r>
        <w:rPr>
          <w:i w:val="0"/>
          <w:iCs w:val="0"/>
          <w:sz w:val="24"/>
          <w:szCs w:val="24"/>
          <w:highlight w:val="white"/>
        </w:rPr>
      </w:r>
      <w:r>
        <w:rPr>
          <w:i w:val="0"/>
          <w:iCs w:val="0"/>
          <w:sz w:val="24"/>
          <w:szCs w:val="24"/>
          <w:highlight w:val="white"/>
        </w:rPr>
      </w:r>
    </w:p>
    <w:p>
      <w:pPr>
        <w:pStyle w:val="774"/>
        <w:jc w:val="both"/>
        <w:rPr>
          <w:bCs/>
          <w:i/>
          <w:sz w:val="24"/>
          <w:szCs w:val="24"/>
          <w:highlight w:val="green"/>
        </w:rPr>
      </w:pPr>
      <w:r>
        <w:rPr>
          <w:bCs/>
          <w:i/>
          <w:sz w:val="24"/>
          <w:szCs w:val="24"/>
          <w:highlight w:val="green"/>
        </w:rPr>
      </w:r>
      <w:r>
        <w:rPr>
          <w:bCs/>
          <w:i/>
          <w:sz w:val="24"/>
          <w:szCs w:val="24"/>
          <w:highlight w:val="green"/>
        </w:rPr>
      </w:r>
      <w:r>
        <w:rPr>
          <w:bCs/>
          <w:i/>
          <w:sz w:val="24"/>
          <w:szCs w:val="24"/>
          <w:highlight w:val="green"/>
        </w:rPr>
      </w:r>
    </w:p>
    <w:p>
      <w:pPr>
        <w:pStyle w:val="775"/>
        <w:numPr>
          <w:ilvl w:val="0"/>
          <w:numId w:val="0"/>
        </w:numPr>
        <w:ind w:left="0" w:firstLine="0"/>
        <w:keepLines/>
        <w:spacing w:before="240" w:after="60"/>
        <w:rPr>
          <w:sz w:val="24"/>
          <w:szCs w:val="24"/>
        </w:rPr>
      </w:pPr>
      <w:r/>
      <w:bookmarkStart w:id="7" w:name="_Toc54646400"/>
      <w:r/>
      <w:bookmarkStart w:id="8" w:name="_Таблица_1."/>
      <w:r/>
      <w:bookmarkEnd w:id="8"/>
      <w:r>
        <w:rPr>
          <w:sz w:val="24"/>
          <w:szCs w:val="24"/>
        </w:rPr>
        <w:t xml:space="preserve">Таблица 1. Перечень объектов заказчика</w:t>
      </w:r>
      <w:bookmarkEnd w:id="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78"/>
        <w:numPr>
          <w:ilvl w:val="0"/>
          <w:numId w:val="0"/>
        </w:numPr>
        <w:ind w:left="0" w:firstLine="0"/>
      </w:pPr>
      <w:r/>
      <w:r/>
    </w:p>
    <w:tbl>
      <w:tblPr>
        <w:tblW w:w="10223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949"/>
        <w:gridCol w:w="4970"/>
        <w:gridCol w:w="4304"/>
      </w:tblGrid>
      <w:tr>
        <w:tblPrEx/>
        <w:trPr>
          <w:trHeight w:val="6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" w:type="dxa"/>
            <w:textDirection w:val="lrTb"/>
            <w:noWrap w:val="false"/>
          </w:tcPr>
          <w:p>
            <w:pPr>
              <w:ind w:left="0" w:firstLine="0"/>
              <w:jc w:val="center"/>
              <w:spacing w:line="240" w:lineRule="auto"/>
              <w:widowControl w:val="o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774"/>
              <w:ind w:left="0" w:firstLine="0"/>
              <w:jc w:val="center"/>
              <w:spacing w:line="240" w:lineRule="auto"/>
              <w:widowControl w:val="o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top w:w="55" w:type="dxa"/>
              <w:bottom w:w="55" w:type="dxa"/>
            </w:tcMar>
            <w:tcW w:w="4970" w:type="dxa"/>
            <w:textDirection w:val="lrTb"/>
            <w:noWrap w:val="false"/>
          </w:tcPr>
          <w:p>
            <w:pPr>
              <w:pStyle w:val="774"/>
              <w:ind w:left="0" w:firstLine="0"/>
              <w:jc w:val="center"/>
              <w:spacing w:line="240" w:lineRule="auto"/>
              <w:widowControl w:val="o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Наименование объекта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774"/>
              <w:ind w:left="0" w:firstLine="0"/>
              <w:jc w:val="center"/>
              <w:spacing w:line="240" w:lineRule="auto"/>
              <w:widowControl w:val="o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55" w:type="dxa"/>
              <w:bottom w:w="55" w:type="dxa"/>
            </w:tcMar>
            <w:tcW w:w="4304" w:type="dxa"/>
            <w:textDirection w:val="lrTb"/>
            <w:noWrap w:val="false"/>
          </w:tcPr>
          <w:p>
            <w:pPr>
              <w:pStyle w:val="774"/>
              <w:ind w:left="0" w:firstLine="0"/>
              <w:jc w:val="center"/>
              <w:spacing w:line="240" w:lineRule="auto"/>
              <w:widowControl w:val="off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Расположение объекта </w:t>
            </w:r>
            <w:r>
              <w:rPr>
                <w:sz w:val="24"/>
                <w:szCs w:val="24"/>
                <w:highlight w:val="white"/>
              </w:rPr>
              <w:br w:type="textWrapping" w:clear="all"/>
            </w:r>
            <w:r>
              <w:rPr>
                <w:i/>
                <w:iCs/>
                <w:sz w:val="24"/>
                <w:szCs w:val="24"/>
                <w:highlight w:val="white"/>
              </w:rPr>
              <w:t xml:space="preserve">(место производства работ)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1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" w:type="dxa"/>
            <w:textDirection w:val="lrTb"/>
            <w:noWrap w:val="false"/>
          </w:tcPr>
          <w:p>
            <w:pPr>
              <w:pStyle w:val="774"/>
              <w:ind w:left="0" w:firstLine="0"/>
              <w:jc w:val="center"/>
              <w:spacing w:line="240" w:lineRule="auto"/>
              <w:widowControl w:val="off"/>
              <w:rPr>
                <w:b/>
                <w:sz w:val="24"/>
                <w:szCs w:val="24"/>
                <w:highlight w:val="white"/>
              </w:rPr>
              <w:suppressLineNumbers w:val="0"/>
            </w:pPr>
            <w:r>
              <w:rPr>
                <w:b/>
                <w:sz w:val="24"/>
                <w:szCs w:val="24"/>
                <w:highlight w:val="white"/>
              </w:rPr>
              <w:t xml:space="preserve">1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0" w:type="dxa"/>
            <w:textDirection w:val="lrTb"/>
            <w:noWrap w:val="false"/>
          </w:tcPr>
          <w:p>
            <w:pPr>
              <w:pStyle w:val="774"/>
              <w:ind w:left="0" w:firstLine="0"/>
              <w:jc w:val="center"/>
              <w:spacing w:line="240" w:lineRule="auto"/>
              <w:widowControl w:val="off"/>
              <w:rPr>
                <w:b/>
                <w:sz w:val="24"/>
                <w:szCs w:val="24"/>
                <w:highlight w:val="white"/>
              </w:rPr>
              <w:suppressLineNumbers w:val="0"/>
            </w:pPr>
            <w:r>
              <w:rPr>
                <w:b/>
                <w:sz w:val="24"/>
                <w:szCs w:val="24"/>
                <w:highlight w:val="white"/>
              </w:rPr>
              <w:t xml:space="preserve">2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04" w:type="dxa"/>
            <w:textDirection w:val="lrTb"/>
            <w:noWrap w:val="false"/>
          </w:tcPr>
          <w:p>
            <w:pPr>
              <w:pStyle w:val="774"/>
              <w:ind w:left="0" w:firstLine="0"/>
              <w:jc w:val="center"/>
              <w:spacing w:line="240" w:lineRule="auto"/>
              <w:widowControl w:val="off"/>
              <w:rPr>
                <w:b/>
                <w:sz w:val="24"/>
                <w:szCs w:val="24"/>
                <w:highlight w:val="white"/>
              </w:rPr>
              <w:suppressLineNumbers w:val="0"/>
            </w:pPr>
            <w:r>
              <w:rPr>
                <w:b/>
                <w:sz w:val="24"/>
                <w:szCs w:val="24"/>
                <w:highlight w:val="white"/>
              </w:rPr>
              <w:t xml:space="preserve">3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95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" w:type="dxa"/>
            <w:vAlign w:val="center"/>
            <w:textDirection w:val="lrTb"/>
            <w:noWrap w:val="false"/>
          </w:tcPr>
          <w:p>
            <w:pPr>
              <w:pStyle w:val="861"/>
              <w:numPr>
                <w:ilvl w:val="0"/>
                <w:numId w:val="3"/>
              </w:numPr>
              <w:ind w:left="0" w:firstLine="0"/>
              <w:jc w:val="center"/>
              <w:spacing w:line="240" w:lineRule="auto"/>
              <w:widowControl w:val="off"/>
              <w:suppressLineNumbers w:val="0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0" w:type="dxa"/>
            <w:vAlign w:val="center"/>
            <w:textDirection w:val="lrTb"/>
            <w:noWrap w:val="false"/>
          </w:tcPr>
          <w:p>
            <w:pPr>
              <w:pStyle w:val="774"/>
              <w:ind w:left="0" w:right="0" w:firstLine="0"/>
              <w:spacing w:line="240" w:lineRule="auto"/>
              <w:widowControl w:val="off"/>
              <w:rPr>
                <w:b w:val="0"/>
                <w:bCs w:val="0"/>
                <w:sz w:val="24"/>
                <w:szCs w:val="24"/>
                <w:highlight w:val="none"/>
              </w:rPr>
              <w:suppressLineNumbers w:val="0"/>
            </w:pPr>
            <w:r>
              <w:rPr>
                <w:sz w:val="24"/>
                <w:szCs w:val="24"/>
              </w:rPr>
              <w:t xml:space="preserve">Турбогенератор </w:t>
            </w:r>
            <w:r>
              <w:rPr>
                <w:b w:val="0"/>
                <w:bCs w:val="0"/>
                <w:sz w:val="24"/>
                <w:szCs w:val="24"/>
              </w:rPr>
              <w:t xml:space="preserve">ТВФ-63-2 УЗ ст. №3</w:t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</w:r>
          </w:p>
          <w:p>
            <w:pPr>
              <w:pStyle w:val="774"/>
              <w:ind w:left="0" w:right="0" w:firstLine="0"/>
              <w:spacing w:line="240" w:lineRule="auto"/>
              <w:widowControl w:val="off"/>
              <w:rPr>
                <w:sz w:val="22"/>
                <w:szCs w:val="22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Инв</w:t>
            </w:r>
            <w:r>
              <w:rPr>
                <w:rFonts w:eastAsia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 № B060000000452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04" w:type="dxa"/>
            <w:vAlign w:val="center"/>
            <w:vMerge w:val="restart"/>
            <w:textDirection w:val="lrTb"/>
            <w:noWrap w:val="false"/>
          </w:tcPr>
          <w:p>
            <w:pPr>
              <w:pStyle w:val="774"/>
              <w:ind w:left="0" w:firstLine="0"/>
              <w:jc w:val="both"/>
              <w:spacing w:line="240" w:lineRule="auto"/>
              <w:widowControl w:val="off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iCs/>
                <w:color w:val="000000" w:themeColor="text1"/>
                <w:sz w:val="24"/>
                <w:szCs w:val="24"/>
                <w:highlight w:val="white"/>
              </w:rPr>
              <w:t xml:space="preserve">Структурное подразделение «Амурская ТЭЦ-1» Российская Федерация</w:t>
            </w:r>
            <w:r>
              <w:rPr>
                <w:color w:val="000000" w:themeColor="text1"/>
                <w:sz w:val="24"/>
                <w:szCs w:val="24"/>
                <w:highlight w:val="white"/>
              </w:rPr>
              <w:t xml:space="preserve">, Хабаровский край, г. Амурск, Западное шоссе,10</w:t>
            </w: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color w:val="000000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98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" w:type="dxa"/>
            <w:vAlign w:val="center"/>
            <w:textDirection w:val="lrTb"/>
            <w:noWrap w:val="false"/>
          </w:tcPr>
          <w:p>
            <w:pPr>
              <w:pStyle w:val="861"/>
              <w:numPr>
                <w:ilvl w:val="0"/>
                <w:numId w:val="3"/>
              </w:numPr>
              <w:ind w:left="0" w:firstLine="0"/>
              <w:jc w:val="center"/>
              <w:spacing w:line="240" w:lineRule="auto"/>
              <w:widowControl w:val="off"/>
              <w:suppressLineNumbers w:val="0"/>
            </w:pP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70" w:type="dxa"/>
            <w:vAlign w:val="center"/>
            <w:textDirection w:val="lrTb"/>
            <w:noWrap w:val="false"/>
          </w:tcPr>
          <w:p>
            <w:pPr>
              <w:pStyle w:val="774"/>
              <w:ind w:left="0" w:firstLine="0"/>
              <w:jc w:val="left"/>
              <w:spacing w:line="240" w:lineRule="auto"/>
              <w:widowControl w:val="off"/>
              <w:tabs>
                <w:tab w:val="center" w:pos="426" w:leader="none"/>
                <w:tab w:val="clear" w:pos="708" w:leader="none"/>
                <w:tab w:val="center" w:pos="993" w:leader="none"/>
              </w:tabs>
              <w:rPr>
                <w:b w:val="0"/>
                <w:bCs w:val="0"/>
                <w:sz w:val="24"/>
                <w:szCs w:val="24"/>
                <w:highlight w:val="none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ТурбогенераторТВФ-120-2 УЗ ст. №5</w:t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</w:r>
          </w:p>
          <w:p>
            <w:pPr>
              <w:pStyle w:val="774"/>
              <w:ind w:left="0" w:right="0" w:firstLine="0"/>
              <w:spacing w:line="240" w:lineRule="auto"/>
              <w:widowControl w:val="off"/>
              <w:rPr>
                <w:b w:val="0"/>
                <w:bCs w:val="0"/>
                <w:color w:val="000000" w:themeColor="text1"/>
                <w:sz w:val="24"/>
                <w:szCs w:val="24"/>
              </w:rPr>
              <w:suppressLineNumbers w:val="0"/>
            </w:pPr>
            <w:r>
              <w:rPr>
                <w:rFonts w:eastAsia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Инв № B060000000454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</w: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04" w:type="dxa"/>
            <w:vAlign w:val="center"/>
            <w:vMerge w:val="continue"/>
            <w:textDirection w:val="lrTb"/>
            <w:noWrap w:val="false"/>
          </w:tcPr>
          <w:p>
            <w:pPr>
              <w:pStyle w:val="774"/>
              <w:widowControl w:val="off"/>
            </w:pPr>
            <w:r/>
            <w:r/>
          </w:p>
        </w:tc>
      </w:tr>
    </w:tbl>
    <w:p>
      <w:pPr>
        <w:pStyle w:val="774"/>
      </w:pPr>
      <w:r/>
      <w:r/>
    </w:p>
    <w:p>
      <w:pPr>
        <w:pStyle w:val="778"/>
        <w:numPr>
          <w:ilvl w:val="1"/>
          <w:numId w:val="1"/>
        </w:numPr>
        <w:ind w:left="1224" w:hanging="432"/>
        <w:jc w:val="both"/>
        <w:rPr>
          <w:highlight w:val="white"/>
        </w:rPr>
      </w:pPr>
      <w:r>
        <w:rPr>
          <w:highlight w:val="white"/>
        </w:rPr>
        <w:t xml:space="preserve">Информация в отношении исполнения договора, </w:t>
      </w:r>
      <w:bookmarkStart w:id="9" w:name="_Hlk46492347"/>
      <w:r>
        <w:rPr>
          <w:highlight w:val="white"/>
        </w:rPr>
        <w:t xml:space="preserve">которая должна быть учтена при подготовке заявки </w:t>
      </w:r>
      <w:bookmarkEnd w:id="9"/>
      <w:r>
        <w:rPr>
          <w:highlight w:val="white"/>
        </w:rPr>
        <w:t xml:space="preserve">(в том числе перечень ресурсов, услуг и документов, предоставляемых заказчиком на этапе исполнения договора)</w:t>
      </w:r>
      <w:r>
        <w:rPr>
          <w:highlight w:val="white"/>
        </w:rPr>
      </w:r>
      <w:r>
        <w:rPr>
          <w:highlight w:val="white"/>
        </w:rPr>
      </w:r>
    </w:p>
    <w:p>
      <w:pPr>
        <w:pStyle w:val="868"/>
        <w:ind w:left="0" w:right="0" w:firstLine="720"/>
        <w:jc w:val="both"/>
        <w:spacing w:before="0" w:beforeAutospacing="0" w:after="0" w:afterAutospacing="0" w:line="240" w:lineRule="auto"/>
        <w:suppressLineNumbers w:val="0"/>
      </w:pPr>
      <w:r>
        <w:t xml:space="preserve"> </w:t>
      </w:r>
      <w:r>
        <w:rPr>
          <w:color w:val="000000"/>
        </w:rPr>
        <w:t xml:space="preserve">При наличии технической возможности у Заказчика, Заказчик может обеспечить Подрядчику возможность подключения к имеющимся бытовым источникам электроснабжения, водоснабжения, канализации для целей оказания услуги по Договору.</w:t>
      </w:r>
      <w:r/>
    </w:p>
    <w:p>
      <w:pPr>
        <w:pStyle w:val="774"/>
        <w:ind w:firstLine="720"/>
        <w:jc w:val="both"/>
        <w:spacing w:line="240" w:lineRule="auto"/>
        <w:rPr>
          <w:sz w:val="24"/>
          <w:szCs w:val="24"/>
          <w:highlight w:val="white"/>
        </w:rPr>
        <w:suppressLineNumbers w:val="0"/>
      </w:pP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При наличии техническая документация (характеристики, паспорта, чертежи, схемы, проектная документация и др.) предоставляются Заказчиком по запросу Исполнителя.</w:t>
      </w:r>
      <w:bookmarkStart w:id="10" w:name="undefined_Копия_2"/>
      <w:r/>
      <w:bookmarkEnd w:id="10"/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775"/>
        <w:numPr>
          <w:ilvl w:val="0"/>
          <w:numId w:val="0"/>
        </w:numPr>
        <w:ind w:left="357" w:firstLine="0"/>
        <w:jc w:val="left"/>
        <w:keepLines/>
        <w:rPr>
          <w:caps/>
        </w:rPr>
      </w:pPr>
      <w:r>
        <w:rPr>
          <w:caps/>
        </w:rPr>
      </w:r>
      <w:r>
        <w:rPr>
          <w:caps/>
        </w:rPr>
      </w:r>
      <w:r>
        <w:rPr>
          <w:caps/>
        </w:rPr>
      </w:r>
    </w:p>
    <w:p>
      <w:pPr>
        <w:pStyle w:val="775"/>
        <w:numPr>
          <w:ilvl w:val="0"/>
          <w:numId w:val="1"/>
        </w:numPr>
        <w:ind w:left="357" w:hanging="357"/>
        <w:jc w:val="center"/>
        <w:keepLines/>
        <w:spacing w:before="120" w:after="0"/>
        <w:rPr>
          <w:iCs/>
          <w:caps/>
        </w:rPr>
      </w:pPr>
      <w:r>
        <w:rPr>
          <w:iCs/>
          <w:sz w:val="24"/>
          <w:szCs w:val="24"/>
        </w:rPr>
        <w:t xml:space="preserve">Требования к продукции</w:t>
      </w:r>
      <w:r>
        <w:rPr>
          <w:iCs/>
          <w:caps/>
        </w:rPr>
      </w:r>
      <w:r>
        <w:rPr>
          <w:iCs/>
          <w:caps/>
        </w:rPr>
      </w:r>
    </w:p>
    <w:p>
      <w:pPr>
        <w:pStyle w:val="778"/>
        <w:numPr>
          <w:ilvl w:val="1"/>
          <w:numId w:val="1"/>
        </w:numPr>
        <w:ind w:left="1224" w:hanging="432"/>
        <w:spacing w:before="120" w:after="0"/>
      </w:pPr>
      <w:r/>
      <w:bookmarkStart w:id="11" w:name="_Toc54646404"/>
      <w:r>
        <w:t xml:space="preserve">Требования к объемам и срокам оказания услуг</w:t>
      </w:r>
      <w:bookmarkEnd w:id="11"/>
      <w:r/>
      <w:r/>
    </w:p>
    <w:p>
      <w:pPr>
        <w:pStyle w:val="777"/>
        <w:numPr>
          <w:ilvl w:val="2"/>
          <w:numId w:val="1"/>
        </w:numPr>
        <w:ind w:left="1224" w:hanging="504"/>
      </w:pPr>
      <w:r/>
      <w:bookmarkStart w:id="12" w:name="_Toc54646405"/>
      <w:r>
        <w:t xml:space="preserve">Требования к видам и объемам услуг</w:t>
      </w:r>
      <w:bookmarkEnd w:id="12"/>
      <w:r/>
      <w:r/>
    </w:p>
    <w:p>
      <w:pPr>
        <w:pStyle w:val="775"/>
        <w:numPr>
          <w:ilvl w:val="0"/>
          <w:numId w:val="0"/>
        </w:numPr>
        <w:ind w:left="0" w:firstLine="0"/>
        <w:keepLines/>
        <w:spacing w:before="240" w:after="60"/>
        <w:rPr>
          <w:sz w:val="24"/>
          <w:szCs w:val="24"/>
        </w:rPr>
      </w:pPr>
      <w:r/>
      <w:bookmarkStart w:id="13" w:name="_Toc54646406"/>
      <w:r/>
      <w:bookmarkStart w:id="14" w:name="_Toc51339695"/>
      <w:r>
        <w:rPr>
          <w:sz w:val="24"/>
          <w:szCs w:val="24"/>
        </w:rPr>
        <w:t xml:space="preserve">Таблица 2. Перечень </w:t>
      </w:r>
      <w:bookmarkEnd w:id="14"/>
      <w:r>
        <w:rPr>
          <w:sz w:val="24"/>
          <w:szCs w:val="24"/>
        </w:rPr>
        <w:t xml:space="preserve">и объем оказываемых услуг</w:t>
      </w:r>
      <w:bookmarkEnd w:id="13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810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849"/>
        <w:gridCol w:w="4708"/>
        <w:gridCol w:w="2135"/>
        <w:gridCol w:w="2117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pStyle w:val="774"/>
              <w:jc w:val="center"/>
              <w:keepNext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№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  <w:p>
            <w:pPr>
              <w:pStyle w:val="774"/>
              <w:jc w:val="center"/>
              <w:keepNext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п/п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08" w:type="dxa"/>
            <w:vAlign w:val="center"/>
            <w:textDirection w:val="lrTb"/>
            <w:noWrap w:val="false"/>
          </w:tcPr>
          <w:p>
            <w:pPr>
              <w:pStyle w:val="774"/>
              <w:jc w:val="center"/>
              <w:keepNext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Наименование услуг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35" w:type="dxa"/>
            <w:vAlign w:val="center"/>
            <w:textDirection w:val="lrTb"/>
            <w:noWrap w:val="false"/>
          </w:tcPr>
          <w:p>
            <w:pPr>
              <w:pStyle w:val="774"/>
              <w:jc w:val="center"/>
              <w:keepNext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Единица измерения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7" w:type="dxa"/>
            <w:vAlign w:val="center"/>
            <w:textDirection w:val="lrTb"/>
            <w:noWrap w:val="false"/>
          </w:tcPr>
          <w:p>
            <w:pPr>
              <w:pStyle w:val="774"/>
              <w:jc w:val="center"/>
              <w:keepNext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Количество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774"/>
              <w:jc w:val="center"/>
              <w:widowControl w:val="off"/>
              <w:rPr>
                <w:b/>
                <w:i w:val="0"/>
                <w:iCs w:val="0"/>
                <w:sz w:val="24"/>
                <w:szCs w:val="24"/>
              </w:rPr>
            </w:pPr>
            <w:r>
              <w:rPr>
                <w:b/>
                <w:i w:val="0"/>
                <w:iCs w:val="0"/>
                <w:sz w:val="24"/>
                <w:szCs w:val="24"/>
              </w:rPr>
              <w:t xml:space="preserve">1</w:t>
            </w:r>
            <w:r>
              <w:rPr>
                <w:b/>
                <w:i w:val="0"/>
                <w:iCs w:val="0"/>
                <w:sz w:val="24"/>
                <w:szCs w:val="24"/>
              </w:rPr>
            </w:r>
            <w:r>
              <w:rPr>
                <w:b/>
                <w:i w:val="0"/>
                <w:i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Mar>
              <w:top w:w="55" w:type="dxa"/>
              <w:bottom w:w="55" w:type="dxa"/>
            </w:tcMar>
            <w:tcW w:w="4708" w:type="dxa"/>
            <w:textDirection w:val="lrTb"/>
            <w:noWrap w:val="false"/>
          </w:tcPr>
          <w:p>
            <w:pPr>
              <w:pStyle w:val="774"/>
              <w:jc w:val="center"/>
              <w:widowControl w:val="off"/>
              <w:rPr>
                <w:b/>
                <w:i w:val="0"/>
                <w:iCs w:val="0"/>
                <w:sz w:val="24"/>
                <w:szCs w:val="24"/>
              </w:rPr>
            </w:pPr>
            <w:r>
              <w:rPr>
                <w:b/>
                <w:i w:val="0"/>
                <w:iCs w:val="0"/>
                <w:sz w:val="24"/>
                <w:szCs w:val="24"/>
              </w:rPr>
              <w:t xml:space="preserve">2</w:t>
            </w:r>
            <w:r>
              <w:rPr>
                <w:b/>
                <w:i w:val="0"/>
                <w:iCs w:val="0"/>
                <w:sz w:val="24"/>
                <w:szCs w:val="24"/>
              </w:rPr>
            </w:r>
            <w:r>
              <w:rPr>
                <w:b/>
                <w:i w:val="0"/>
                <w:i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tcMar>
              <w:top w:w="55" w:type="dxa"/>
              <w:bottom w:w="55" w:type="dxa"/>
            </w:tcMar>
            <w:tcW w:w="2135" w:type="dxa"/>
            <w:textDirection w:val="lrTb"/>
            <w:noWrap w:val="false"/>
          </w:tcPr>
          <w:p>
            <w:pPr>
              <w:pStyle w:val="774"/>
              <w:jc w:val="center"/>
              <w:widowControl w:val="off"/>
              <w:rPr>
                <w:b/>
                <w:i w:val="0"/>
                <w:iCs w:val="0"/>
                <w:sz w:val="24"/>
                <w:szCs w:val="24"/>
              </w:rPr>
            </w:pPr>
            <w:r>
              <w:rPr>
                <w:b/>
                <w:i w:val="0"/>
                <w:iCs w:val="0"/>
                <w:sz w:val="24"/>
                <w:szCs w:val="24"/>
              </w:rPr>
              <w:t xml:space="preserve">3</w:t>
            </w:r>
            <w:r>
              <w:rPr>
                <w:b/>
                <w:i w:val="0"/>
                <w:iCs w:val="0"/>
                <w:sz w:val="24"/>
                <w:szCs w:val="24"/>
              </w:rPr>
            </w:r>
            <w:r>
              <w:rPr>
                <w:b/>
                <w:i w:val="0"/>
                <w:i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55" w:type="dxa"/>
              <w:bottom w:w="55" w:type="dxa"/>
            </w:tcMar>
            <w:tcW w:w="2117" w:type="dxa"/>
            <w:textDirection w:val="lrTb"/>
            <w:noWrap w:val="false"/>
          </w:tcPr>
          <w:p>
            <w:pPr>
              <w:pStyle w:val="774"/>
              <w:jc w:val="center"/>
              <w:widowControl w:val="off"/>
              <w:rPr>
                <w:b/>
                <w:i w:val="0"/>
                <w:iCs w:val="0"/>
                <w:sz w:val="24"/>
                <w:szCs w:val="24"/>
              </w:rPr>
            </w:pPr>
            <w:r>
              <w:rPr>
                <w:b/>
                <w:i w:val="0"/>
                <w:iCs w:val="0"/>
                <w:sz w:val="24"/>
                <w:szCs w:val="24"/>
              </w:rPr>
              <w:t xml:space="preserve">4</w:t>
            </w:r>
            <w:r>
              <w:rPr>
                <w:b/>
                <w:i w:val="0"/>
                <w:iCs w:val="0"/>
                <w:sz w:val="24"/>
                <w:szCs w:val="24"/>
              </w:rPr>
            </w:r>
            <w:r>
              <w:rPr>
                <w:b/>
                <w:i w:val="0"/>
                <w:iCs w:val="0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861"/>
              <w:numPr>
                <w:ilvl w:val="0"/>
                <w:numId w:val="4"/>
              </w:numPr>
              <w:jc w:val="center"/>
              <w:widowControl w:val="off"/>
              <w:rPr>
                <w:bCs w:val="0"/>
                <w:i w:val="0"/>
              </w:rPr>
            </w:pPr>
            <w:r>
              <w:rPr>
                <w:i w:val="0"/>
                <w:iCs w:val="0"/>
              </w:rPr>
            </w:r>
            <w:r>
              <w:rPr>
                <w:bCs w:val="0"/>
                <w:i w:val="0"/>
              </w:rPr>
            </w:r>
            <w:r>
              <w:rPr>
                <w:bCs w:val="0"/>
                <w:i w:val="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08" w:type="dxa"/>
            <w:textDirection w:val="lrTb"/>
            <w:noWrap w:val="false"/>
          </w:tcPr>
          <w:p>
            <w:pPr>
              <w:pStyle w:val="774"/>
              <w:jc w:val="center"/>
              <w:keepLines/>
              <w:keepNext/>
              <w:widowControl w:val="off"/>
              <w:rPr>
                <w:rFonts w:eastAsia="Calibri"/>
                <w:i w:val="0"/>
                <w:iCs w:val="0"/>
                <w:sz w:val="24"/>
                <w:szCs w:val="24"/>
                <w:highlight w:val="none"/>
              </w:rPr>
            </w:pPr>
            <w:r>
              <w:rPr>
                <w:rFonts w:eastAsia="Calibri"/>
                <w:b w:val="0"/>
                <w:bCs w:val="0"/>
                <w:i w:val="0"/>
                <w:iCs w:val="0"/>
                <w:sz w:val="24"/>
                <w:szCs w:val="24"/>
              </w:rPr>
              <w:t xml:space="preserve">ОКПД2 71.20.19.190 Оказание услуг по комплексному диагностическому обследованию турбогенераторов ст. № 3, ст. № 5  для СП Амурская ТЭЦ-1, г. Амурск</w:t>
            </w:r>
            <w:r>
              <w:rPr>
                <w:rFonts w:eastAsia="Calibri"/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rFonts w:eastAsia="Calibri"/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rFonts w:eastAsia="Calibri"/>
                <w:i w:val="0"/>
                <w:iCs w:val="0"/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2" w:type="dxa"/>
            <w:textDirection w:val="lrTb"/>
            <w:noWrap w:val="false"/>
          </w:tcPr>
          <w:p>
            <w:pPr>
              <w:pStyle w:val="774"/>
              <w:jc w:val="center"/>
              <w:widowControl w:val="off"/>
              <w:rPr>
                <w:i w:val="0"/>
                <w:iCs w:val="0"/>
                <w:sz w:val="24"/>
                <w:szCs w:val="24"/>
                <w:highlight w:val="white"/>
              </w:rPr>
            </w:pPr>
            <w:r>
              <w:rPr>
                <w:i w:val="0"/>
                <w:iCs w:val="0"/>
                <w:sz w:val="24"/>
                <w:szCs w:val="24"/>
                <w:highlight w:val="white"/>
              </w:rPr>
              <w:t xml:space="preserve">В соответствии с ведомостью объемов работ (Приложение № 1 к ТТ)</w:t>
            </w:r>
            <w:r>
              <w:rPr>
                <w:i w:val="0"/>
                <w:iCs w:val="0"/>
                <w:sz w:val="24"/>
                <w:szCs w:val="24"/>
                <w:highlight w:val="white"/>
              </w:rPr>
            </w:r>
            <w:r>
              <w:rPr>
                <w:i w:val="0"/>
                <w:iCs w:val="0"/>
                <w:sz w:val="24"/>
                <w:szCs w:val="24"/>
                <w:highlight w:val="white"/>
              </w:rPr>
            </w:r>
          </w:p>
        </w:tc>
      </w:tr>
    </w:tbl>
    <w:p>
      <w:pPr>
        <w:pStyle w:val="777"/>
        <w:numPr>
          <w:ilvl w:val="0"/>
          <w:numId w:val="0"/>
        </w:numPr>
        <w:ind w:left="1224" w:firstLine="0"/>
      </w:pPr>
      <w:r/>
      <w:r/>
    </w:p>
    <w:p>
      <w:pPr>
        <w:pStyle w:val="777"/>
        <w:numPr>
          <w:ilvl w:val="2"/>
          <w:numId w:val="1"/>
        </w:numPr>
        <w:ind w:left="1224" w:hanging="504"/>
      </w:pPr>
      <w:r>
        <w:t xml:space="preserve">Требования к срокам оказания услуг</w:t>
      </w:r>
      <w:r/>
    </w:p>
    <w:p>
      <w:pPr>
        <w:pStyle w:val="775"/>
        <w:numPr>
          <w:ilvl w:val="0"/>
          <w:numId w:val="0"/>
        </w:numPr>
        <w:ind w:left="0" w:firstLine="0"/>
        <w:keepLines/>
        <w:spacing w:before="240" w:after="60"/>
        <w:rPr>
          <w:sz w:val="24"/>
          <w:szCs w:val="24"/>
        </w:rPr>
      </w:pPr>
      <w:r/>
      <w:bookmarkStart w:id="15" w:name="_Toc54646408"/>
      <w:r/>
      <w:bookmarkStart w:id="16" w:name="_Toc51339697"/>
      <w:r/>
      <w:bookmarkStart w:id="17" w:name="_Toc50125127"/>
      <w:r>
        <w:rPr>
          <w:sz w:val="24"/>
          <w:szCs w:val="24"/>
        </w:rPr>
        <w:t xml:space="preserve">Таблица 3. </w:t>
      </w:r>
      <w:bookmarkStart w:id="18" w:name="_Hlk50465284"/>
      <w:r>
        <w:rPr>
          <w:sz w:val="24"/>
          <w:szCs w:val="24"/>
        </w:rPr>
        <w:t xml:space="preserve">Требования по срокам </w:t>
      </w:r>
      <w:bookmarkEnd w:id="16"/>
      <w:r/>
      <w:bookmarkEnd w:id="17"/>
      <w:r>
        <w:rPr>
          <w:sz w:val="24"/>
          <w:szCs w:val="24"/>
        </w:rPr>
        <w:t xml:space="preserve">оказания услуг</w:t>
      </w:r>
      <w:bookmarkEnd w:id="15"/>
      <w:r/>
      <w:bookmarkEnd w:id="18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781" w:type="dxa"/>
        <w:tblInd w:w="137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83"/>
        <w:gridCol w:w="2956"/>
        <w:gridCol w:w="2582"/>
        <w:gridCol w:w="3260"/>
      </w:tblGrid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3" w:type="dxa"/>
            <w:vAlign w:val="center"/>
            <w:textDirection w:val="lrTb"/>
            <w:noWrap w:val="false"/>
          </w:tcPr>
          <w:p>
            <w:pPr>
              <w:pStyle w:val="774"/>
              <w:jc w:val="center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№ </w:t>
            </w:r>
            <w:r>
              <w:rPr>
                <w:i w:val="0"/>
                <w:iCs w:val="0"/>
                <w:sz w:val="24"/>
                <w:szCs w:val="24"/>
              </w:rPr>
              <w:t xml:space="preserve">п/п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6" w:type="dxa"/>
            <w:vAlign w:val="center"/>
            <w:textDirection w:val="lrTb"/>
            <w:noWrap w:val="false"/>
          </w:tcPr>
          <w:p>
            <w:pPr>
              <w:pStyle w:val="774"/>
              <w:jc w:val="center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Наименование работ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2" w:type="dxa"/>
            <w:textDirection w:val="lrTb"/>
            <w:noWrap w:val="false"/>
          </w:tcPr>
          <w:p>
            <w:pPr>
              <w:pStyle w:val="774"/>
              <w:jc w:val="center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Требования к началу срока выполнения работ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pStyle w:val="774"/>
              <w:jc w:val="center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Требования к окончанию срока выполнения работ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3" w:type="dxa"/>
            <w:textDirection w:val="lrTb"/>
            <w:noWrap w:val="false"/>
          </w:tcPr>
          <w:p>
            <w:pPr>
              <w:pStyle w:val="774"/>
              <w:jc w:val="center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b/>
                <w:i w:val="0"/>
                <w:iCs w:val="0"/>
                <w:sz w:val="24"/>
                <w:szCs w:val="24"/>
              </w:rPr>
              <w:t xml:space="preserve">1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6" w:type="dxa"/>
            <w:textDirection w:val="lrTb"/>
            <w:noWrap w:val="false"/>
          </w:tcPr>
          <w:p>
            <w:pPr>
              <w:pStyle w:val="774"/>
              <w:jc w:val="center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b/>
                <w:i w:val="0"/>
                <w:iCs w:val="0"/>
                <w:sz w:val="24"/>
                <w:szCs w:val="24"/>
              </w:rPr>
              <w:t xml:space="preserve">2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2" w:type="dxa"/>
            <w:textDirection w:val="lrTb"/>
            <w:noWrap w:val="false"/>
          </w:tcPr>
          <w:p>
            <w:pPr>
              <w:pStyle w:val="862"/>
              <w:jc w:val="center"/>
              <w:keepNext w:val="0"/>
              <w:spacing w:before="40" w:after="4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b/>
                <w:i w:val="0"/>
                <w:iCs w:val="0"/>
                <w:sz w:val="24"/>
                <w:szCs w:val="24"/>
              </w:rPr>
              <w:t xml:space="preserve">3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862"/>
              <w:jc w:val="center"/>
              <w:keepNext w:val="0"/>
              <w:spacing w:before="40" w:after="40"/>
              <w:widowControl w:val="off"/>
              <w:rPr>
                <w:i w:val="0"/>
                <w:iCs w:val="0"/>
                <w:sz w:val="24"/>
                <w:szCs w:val="24"/>
              </w:rPr>
            </w:pPr>
            <w:r>
              <w:rPr>
                <w:b/>
                <w:i w:val="0"/>
                <w:iCs w:val="0"/>
                <w:sz w:val="24"/>
                <w:szCs w:val="24"/>
              </w:rPr>
              <w:t xml:space="preserve">4</w:t>
            </w:r>
            <w:r>
              <w:rPr>
                <w:i w:val="0"/>
                <w:iCs w:val="0"/>
                <w:sz w:val="24"/>
                <w:szCs w:val="24"/>
              </w:rPr>
            </w:r>
            <w:r>
              <w:rPr>
                <w:i w:val="0"/>
                <w:iCs w:val="0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3" w:type="dxa"/>
            <w:textDirection w:val="lrTb"/>
            <w:noWrap w:val="false"/>
          </w:tcPr>
          <w:p>
            <w:pPr>
              <w:pStyle w:val="861"/>
              <w:numPr>
                <w:ilvl w:val="0"/>
                <w:numId w:val="5"/>
              </w:numPr>
              <w:jc w:val="center"/>
              <w:widowControl w:val="off"/>
              <w:rPr>
                <w:bCs w:val="0"/>
                <w:i w:val="0"/>
              </w:rPr>
            </w:pPr>
            <w:r>
              <w:rPr>
                <w:i w:val="0"/>
                <w:iCs w:val="0"/>
              </w:rPr>
            </w:r>
            <w:r>
              <w:rPr>
                <w:bCs w:val="0"/>
                <w:i w:val="0"/>
              </w:rPr>
            </w:r>
            <w:r>
              <w:rPr>
                <w:bCs w:val="0"/>
                <w:i w:val="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56" w:type="dxa"/>
            <w:textDirection w:val="lrTb"/>
            <w:noWrap w:val="false"/>
          </w:tcPr>
          <w:p>
            <w:pPr>
              <w:pStyle w:val="774"/>
              <w:jc w:val="center"/>
              <w:keepLines/>
              <w:keepNext/>
              <w:widowControl w:val="off"/>
              <w:rPr>
                <w:rFonts w:eastAsia="Calibri"/>
                <w:i w:val="0"/>
                <w:iCs w:val="0"/>
                <w:sz w:val="24"/>
                <w:szCs w:val="24"/>
                <w:highlight w:val="none"/>
              </w:rPr>
            </w:pPr>
            <w:r>
              <w:rPr>
                <w:rFonts w:eastAsia="Calibri"/>
                <w:b w:val="0"/>
                <w:bCs w:val="0"/>
                <w:i w:val="0"/>
                <w:iCs w:val="0"/>
                <w:sz w:val="24"/>
                <w:szCs w:val="24"/>
              </w:rPr>
              <w:t xml:space="preserve">ОКПД2 71.20.19.190 Оказание услуг по комплексному диагностическому обследованию турбогенераторов ст. № 3, ст. № 5  для СП Амурская ТЭЦ-1, г. Амурск</w:t>
            </w:r>
            <w:r>
              <w:rPr>
                <w:rFonts w:eastAsia="Calibri"/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rFonts w:eastAsia="Calibri"/>
                <w:i w:val="0"/>
                <w:iCs w:val="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82" w:type="dxa"/>
            <w:textDirection w:val="lrTb"/>
            <w:noWrap w:val="false"/>
          </w:tcPr>
          <w:p>
            <w:pPr>
              <w:pStyle w:val="774"/>
              <w:jc w:val="center"/>
              <w:widowControl w:val="off"/>
              <w:rPr>
                <w:i w:val="0"/>
                <w:iCs w:val="0"/>
                <w:color w:val="000000"/>
                <w:sz w:val="24"/>
                <w:szCs w:val="24"/>
              </w:rPr>
            </w:pPr>
            <w:r>
              <w:rPr>
                <w:i w:val="0"/>
                <w:iCs w:val="0"/>
                <w:color w:val="000000"/>
                <w:sz w:val="24"/>
                <w:szCs w:val="24"/>
              </w:rPr>
              <w:t xml:space="preserve">С даты заключения </w:t>
            </w:r>
            <w:r>
              <w:rPr>
                <w:i w:val="0"/>
                <w:iCs w:val="0"/>
                <w:color w:val="000000"/>
                <w:sz w:val="24"/>
                <w:szCs w:val="24"/>
              </w:rPr>
            </w:r>
            <w:r>
              <w:rPr>
                <w:i w:val="0"/>
                <w:iCs w:val="0"/>
                <w:color w:val="000000"/>
                <w:sz w:val="24"/>
                <w:szCs w:val="24"/>
              </w:rPr>
            </w:r>
          </w:p>
          <w:p>
            <w:pPr>
              <w:jc w:val="center"/>
              <w:widowControl w:val="off"/>
              <w:rPr>
                <w:bCs w:val="0"/>
                <w:i w:val="0"/>
                <w:color w:val="000000"/>
                <w:sz w:val="24"/>
                <w:szCs w:val="24"/>
                <w:highlight w:val="white"/>
              </w:rPr>
            </w:pPr>
            <w:r>
              <w:rPr>
                <w:i w:val="0"/>
                <w:iCs w:val="0"/>
                <w:color w:val="000000"/>
                <w:sz w:val="24"/>
                <w:szCs w:val="24"/>
              </w:rPr>
              <w:t xml:space="preserve">Договора</w:t>
            </w:r>
            <w:r>
              <w:rPr>
                <w:bCs w:val="0"/>
                <w:i w:val="0"/>
                <w:color w:val="000000"/>
                <w:sz w:val="24"/>
                <w:szCs w:val="24"/>
                <w:highlight w:val="white"/>
              </w:rPr>
            </w:r>
            <w:r>
              <w:rPr>
                <w:bCs w:val="0"/>
                <w:i w:val="0"/>
                <w:color w:val="000000"/>
                <w:sz w:val="24"/>
                <w:szCs w:val="24"/>
                <w:highlight w:val="white"/>
              </w:rPr>
            </w:r>
          </w:p>
          <w:p>
            <w:pPr>
              <w:pStyle w:val="774"/>
              <w:jc w:val="center"/>
              <w:widowControl w:val="off"/>
              <w:rPr>
                <w:rFonts w:eastAsia="Calibri"/>
                <w:i w:val="0"/>
                <w:iCs w:val="0"/>
                <w:sz w:val="24"/>
                <w:szCs w:val="24"/>
              </w:rPr>
            </w:pP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  <w:r>
              <w:rPr>
                <w:rFonts w:eastAsia="Calibri"/>
                <w:i w:val="0"/>
                <w:i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774"/>
              <w:jc w:val="center"/>
              <w:widowControl w:val="off"/>
              <w:rPr>
                <w:i w:val="0"/>
                <w:iCs w:val="0"/>
                <w:sz w:val="24"/>
                <w:szCs w:val="24"/>
                <w:highlight w:val="none"/>
              </w:rPr>
            </w:pPr>
            <w:r>
              <w:rPr>
                <w:i w:val="0"/>
                <w:iCs w:val="0"/>
                <w:sz w:val="24"/>
                <w:szCs w:val="24"/>
              </w:rPr>
              <w:t xml:space="preserve">30.12.2026</w:t>
            </w:r>
            <w:r>
              <w:rPr>
                <w:i w:val="0"/>
                <w:iCs w:val="0"/>
                <w:sz w:val="24"/>
                <w:szCs w:val="24"/>
                <w:highlight w:val="none"/>
              </w:rPr>
            </w:r>
            <w:r>
              <w:rPr>
                <w:i w:val="0"/>
                <w:iCs w:val="0"/>
                <w:sz w:val="24"/>
                <w:szCs w:val="24"/>
                <w:highlight w:val="none"/>
              </w:rPr>
            </w:r>
          </w:p>
        </w:tc>
      </w:tr>
    </w:tbl>
    <w:p>
      <w:pPr>
        <w:pStyle w:val="774"/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</w:r>
      <w:r>
        <w:rPr>
          <w:rFonts w:eastAsia="Calibri"/>
          <w:i/>
          <w:sz w:val="24"/>
          <w:szCs w:val="24"/>
        </w:rPr>
      </w:r>
      <w:r>
        <w:rPr>
          <w:rFonts w:eastAsia="Calibri"/>
          <w:i/>
          <w:sz w:val="24"/>
          <w:szCs w:val="24"/>
        </w:rPr>
      </w:r>
    </w:p>
    <w:p>
      <w:pPr>
        <w:pStyle w:val="774"/>
        <w:ind w:left="567" w:hanging="567"/>
        <w:spacing w:line="360" w:lineRule="auto"/>
        <w:sectPr>
          <w:headerReference w:type="default" r:id="rId9"/>
          <w:footnotePr/>
          <w:endnotePr/>
          <w:type w:val="nextPage"/>
          <w:pgSz w:w="11906" w:h="16838" w:orient="portrait"/>
          <w:pgMar w:top="851" w:right="709" w:bottom="1134" w:left="1276" w:header="426" w:footer="0" w:gutter="0"/>
          <w:cols w:num="1" w:sep="0" w:space="1701" w:equalWidth="1"/>
          <w:docGrid w:linePitch="360"/>
        </w:sectPr>
      </w:pPr>
      <w:r>
        <w:rPr>
          <w:rFonts w:eastAsia="Calibri"/>
          <w:i/>
          <w:sz w:val="24"/>
          <w:szCs w:val="24"/>
        </w:rPr>
        <w:tab/>
      </w:r>
      <w:r/>
    </w:p>
    <w:p>
      <w:pPr>
        <w:pStyle w:val="778"/>
        <w:numPr>
          <w:ilvl w:val="1"/>
          <w:numId w:val="1"/>
        </w:numPr>
        <w:ind w:left="1224" w:hanging="432"/>
      </w:pPr>
      <w:r/>
      <w:bookmarkStart w:id="19" w:name="_Toc54646410"/>
      <w:r>
        <w:t xml:space="preserve">Требования к качеству услуг</w:t>
      </w:r>
      <w:r/>
    </w:p>
    <w:p>
      <w:pPr>
        <w:pStyle w:val="775"/>
        <w:numPr>
          <w:ilvl w:val="0"/>
          <w:numId w:val="0"/>
        </w:numPr>
        <w:ind w:left="0" w:firstLine="0"/>
        <w:keepLines/>
        <w:spacing w:before="240" w:after="60"/>
        <w:rPr>
          <w:sz w:val="24"/>
          <w:szCs w:val="24"/>
        </w:rPr>
      </w:pPr>
      <w:r/>
      <w:bookmarkStart w:id="20" w:name="_Toc51339698"/>
      <w:r>
        <w:rPr>
          <w:sz w:val="24"/>
          <w:szCs w:val="24"/>
        </w:rPr>
        <w:t xml:space="preserve">Таблица 4. Требования к </w:t>
      </w:r>
      <w:bookmarkEnd w:id="20"/>
      <w:r>
        <w:rPr>
          <w:sz w:val="24"/>
          <w:szCs w:val="24"/>
        </w:rPr>
        <w:t xml:space="preserve">качеству услуг</w:t>
      </w:r>
      <w:bookmarkEnd w:id="1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74"/>
        <w:spacing w:before="0" w:after="120"/>
        <w:rPr>
          <w:rStyle w:val="825"/>
          <w:b w:val="0"/>
          <w:iCs/>
          <w:sz w:val="24"/>
          <w:szCs w:val="24"/>
        </w:rPr>
      </w:pPr>
      <w:r>
        <w:rPr>
          <w:b w:val="0"/>
          <w:iCs/>
          <w:sz w:val="24"/>
          <w:szCs w:val="24"/>
        </w:rPr>
      </w:r>
      <w:r>
        <w:rPr>
          <w:rStyle w:val="825"/>
          <w:b w:val="0"/>
          <w:iCs/>
          <w:sz w:val="24"/>
          <w:szCs w:val="24"/>
        </w:rPr>
      </w:r>
      <w:r>
        <w:rPr>
          <w:rStyle w:val="825"/>
          <w:b w:val="0"/>
          <w:iCs/>
          <w:sz w:val="24"/>
          <w:szCs w:val="24"/>
        </w:rPr>
      </w:r>
    </w:p>
    <w:tbl>
      <w:tblPr>
        <w:tblStyle w:val="1000"/>
        <w:tblW w:w="5000" w:type="pct"/>
        <w:tblInd w:w="55" w:type="dxa"/>
        <w:tblLayout w:type="fixed"/>
        <w:tblCellMar>
          <w:left w:w="55" w:type="dxa"/>
          <w:top w:w="55" w:type="dxa"/>
          <w:right w:w="55" w:type="dxa"/>
          <w:bottom w:w="55" w:type="dxa"/>
        </w:tblCellMar>
        <w:tblLook w:val="04A0" w:firstRow="1" w:lastRow="0" w:firstColumn="1" w:lastColumn="0" w:noHBand="0" w:noVBand="1"/>
      </w:tblPr>
      <w:tblGrid>
        <w:gridCol w:w="726"/>
        <w:gridCol w:w="51"/>
        <w:gridCol w:w="3"/>
        <w:gridCol w:w="1996"/>
        <w:gridCol w:w="29"/>
        <w:gridCol w:w="6408"/>
        <w:gridCol w:w="3260"/>
        <w:gridCol w:w="2208"/>
      </w:tblGrid>
      <w:tr>
        <w:tblPrEx/>
        <w:trPr>
          <w:cantSplit/>
        </w:trPr>
        <w:tc>
          <w:tcPr>
            <w:gridSpan w:val="2"/>
            <w:tcBorders>
              <w:right w:val="none" w:color="000000" w:sz="4" w:space="0"/>
            </w:tcBorders>
            <w:tcW w:w="777" w:type="dxa"/>
            <w:vAlign w:val="center"/>
            <w:vMerge w:val="restart"/>
            <w:textDirection w:val="lrTb"/>
            <w:noWrap w:val="false"/>
          </w:tcPr>
          <w:p>
            <w:pPr>
              <w:pStyle w:val="774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b/>
                <w:bCs/>
                <w:sz w:val="24"/>
                <w:szCs w:val="24"/>
                <w:lang w:val="ru-RU" w:bidi="ar-SA"/>
              </w:rPr>
              <w:t xml:space="preserve">№ </w:t>
            </w:r>
            <w:r>
              <w:rPr>
                <w:b/>
                <w:bCs/>
                <w:sz w:val="24"/>
                <w:szCs w:val="24"/>
                <w:lang w:val="ru-RU" w:bidi="ar-SA"/>
              </w:rPr>
              <w:t xml:space="preserve">п/п</w:t>
            </w:r>
            <w:r/>
          </w:p>
        </w:tc>
        <w:tc>
          <w:tcPr>
            <w:gridSpan w:val="3"/>
            <w:tcBorders>
              <w:right w:val="none" w:color="000000" w:sz="4" w:space="0"/>
            </w:tcBorders>
            <w:tcW w:w="2028" w:type="dxa"/>
            <w:vAlign w:val="center"/>
            <w:vMerge w:val="restart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b/>
                <w:bCs/>
                <w:sz w:val="24"/>
                <w:szCs w:val="24"/>
                <w:lang w:val="ru-RU" w:bidi="ar-SA"/>
              </w:rPr>
              <w:t xml:space="preserve">Наименование параметра</w:t>
            </w:r>
            <w:r/>
          </w:p>
        </w:tc>
        <w:tc>
          <w:tcPr>
            <w:tcBorders>
              <w:right w:val="none" w:color="000000" w:sz="4" w:space="0"/>
            </w:tcBorders>
            <w:tcW w:w="6408" w:type="dxa"/>
            <w:vAlign w:val="center"/>
            <w:vMerge w:val="restart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b/>
                <w:bCs/>
                <w:sz w:val="24"/>
                <w:szCs w:val="24"/>
                <w:lang w:val="ru-RU" w:bidi="ar-SA"/>
              </w:rPr>
              <w:t xml:space="preserve">Требование заказчика</w:t>
            </w:r>
            <w:r/>
          </w:p>
        </w:tc>
        <w:tc>
          <w:tcPr>
            <w:gridSpan w:val="2"/>
            <w:tcW w:w="5468" w:type="dxa"/>
            <w:vAlign w:val="center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b/>
                <w:bCs/>
                <w:sz w:val="24"/>
                <w:szCs w:val="24"/>
                <w:lang w:val="ru-RU" w:bidi="ar-SA"/>
              </w:rPr>
              <w:t xml:space="preserve">Способ подтверждения участником соответствия требованиям</w:t>
            </w:r>
            <w:r/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7" w:type="dxa"/>
            <w:vAlign w:val="center"/>
            <w:vMerge w:val="continue"/>
            <w:textDirection w:val="lrTb"/>
            <w:noWrap w:val="false"/>
          </w:tcPr>
          <w:p>
            <w:pPr>
              <w:pStyle w:val="774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right w:val="none" w:color="000000" w:sz="4" w:space="0"/>
            </w:tcBorders>
            <w:tcW w:w="2028" w:type="dxa"/>
            <w:vAlign w:val="center"/>
            <w:vMerge w:val="continue"/>
            <w:textDirection w:val="lrTb"/>
            <w:noWrap w:val="false"/>
          </w:tcPr>
          <w:p>
            <w:pPr>
              <w:pStyle w:val="774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6408" w:type="dxa"/>
            <w:vAlign w:val="center"/>
            <w:vMerge w:val="continue"/>
            <w:textDirection w:val="lrTb"/>
            <w:noWrap w:val="false"/>
          </w:tcPr>
          <w:p>
            <w:pPr>
              <w:pStyle w:val="774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b/>
                <w:bCs/>
                <w:sz w:val="24"/>
                <w:szCs w:val="24"/>
                <w:lang w:val="ru-RU" w:bidi="ar-SA"/>
              </w:rPr>
              <w:t xml:space="preserve">Согласие с требованием/ указание характеристик</w:t>
            </w:r>
            <w:r/>
          </w:p>
        </w:tc>
        <w:tc>
          <w:tcPr>
            <w:tcBorders>
              <w:top w:val="none" w:color="000000" w:sz="4" w:space="0"/>
            </w:tcBorders>
            <w:tcW w:w="2208" w:type="dxa"/>
            <w:vAlign w:val="center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b/>
                <w:bCs/>
                <w:sz w:val="24"/>
                <w:szCs w:val="24"/>
                <w:lang w:val="ru-RU" w:bidi="ar-SA"/>
              </w:rPr>
              <w:t xml:space="preserve">Предоставление подтверждающего документа или иной способ подтверждения</w:t>
            </w:r>
            <w:r/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7" w:type="dxa"/>
            <w:vAlign w:val="center"/>
            <w:textDirection w:val="lrTb"/>
            <w:noWrap w:val="false"/>
          </w:tcPr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b/>
                <w:sz w:val="24"/>
                <w:szCs w:val="24"/>
                <w:lang w:val="ru-RU" w:bidi="ar-SA"/>
              </w:rPr>
              <w:t xml:space="preserve">1</w:t>
            </w:r>
            <w:r/>
          </w:p>
        </w:tc>
        <w:tc>
          <w:tcPr>
            <w:gridSpan w:val="3"/>
            <w:tcBorders>
              <w:top w:val="none" w:color="000000" w:sz="4" w:space="0"/>
              <w:right w:val="none" w:color="000000" w:sz="4" w:space="0"/>
            </w:tcBorders>
            <w:tcW w:w="2028" w:type="dxa"/>
            <w:vAlign w:val="center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b/>
                <w:sz w:val="24"/>
                <w:szCs w:val="24"/>
                <w:lang w:val="ru-RU" w:bidi="ar-SA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6408" w:type="dxa"/>
            <w:vAlign w:val="center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b/>
                <w:sz w:val="24"/>
                <w:szCs w:val="24"/>
                <w:lang w:val="ru-RU" w:bidi="ar-SA"/>
              </w:rPr>
              <w:t xml:space="preserve">3</w:t>
            </w:r>
            <w:r/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b/>
                <w:sz w:val="24"/>
                <w:szCs w:val="24"/>
                <w:lang w:val="ru-RU" w:bidi="ar-SA"/>
              </w:rPr>
              <w:t xml:space="preserve">4</w:t>
            </w:r>
            <w:r/>
          </w:p>
        </w:tc>
        <w:tc>
          <w:tcPr>
            <w:tcBorders>
              <w:top w:val="none" w:color="000000" w:sz="4" w:space="0"/>
            </w:tcBorders>
            <w:tcW w:w="2208" w:type="dxa"/>
            <w:vAlign w:val="center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b/>
                <w:sz w:val="24"/>
                <w:szCs w:val="24"/>
                <w:lang w:val="ru-RU" w:bidi="ar-SA"/>
              </w:rPr>
              <w:t xml:space="preserve">5</w:t>
            </w:r>
            <w:r/>
          </w:p>
        </w:tc>
      </w:tr>
      <w:tr>
        <w:tblPrEx/>
        <w:trPr>
          <w:cantSplit/>
          <w:trHeight w:val="473"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7" w:type="dxa"/>
            <w:vAlign w:val="center"/>
            <w:textDirection w:val="lrTb"/>
            <w:noWrap w:val="false"/>
          </w:tcPr>
          <w:p>
            <w:pPr>
              <w:pStyle w:val="861"/>
              <w:numPr>
                <w:ilvl w:val="0"/>
                <w:numId w:val="6"/>
              </w:numPr>
              <w:contextualSpacing w:val="0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gridSpan w:val="4"/>
            <w:tcBorders>
              <w:top w:val="none" w:color="000000" w:sz="4" w:space="0"/>
              <w:right w:val="none" w:color="000000" w:sz="4" w:space="0"/>
            </w:tcBorders>
            <w:tcW w:w="8436" w:type="dxa"/>
            <w:vAlign w:val="center"/>
            <w:textDirection w:val="lrTb"/>
            <w:noWrap w:val="false"/>
          </w:tcPr>
          <w:p>
            <w:pPr>
              <w:pStyle w:val="774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b/>
                <w:sz w:val="24"/>
                <w:szCs w:val="24"/>
                <w:lang w:val="ru-RU" w:bidi="ar-SA"/>
              </w:rPr>
              <w:t xml:space="preserve">Требования к оказанию услуг</w:t>
            </w:r>
            <w:r/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b/>
                <w:sz w:val="24"/>
                <w:szCs w:val="24"/>
                <w:lang w:val="ru-RU" w:bidi="ar-SA"/>
              </w:rPr>
              <w:t xml:space="preserve">-//-</w:t>
            </w:r>
            <w:r/>
          </w:p>
        </w:tc>
        <w:tc>
          <w:tcPr>
            <w:tcBorders>
              <w:top w:val="none" w:color="000000" w:sz="4" w:space="0"/>
            </w:tcBorders>
            <w:tcW w:w="2208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b/>
                <w:sz w:val="24"/>
                <w:szCs w:val="24"/>
                <w:lang w:val="ru-RU" w:bidi="ar-SA"/>
              </w:rPr>
              <w:t xml:space="preserve">-//-</w:t>
            </w:r>
            <w:r/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7" w:type="dxa"/>
            <w:vAlign w:val="center"/>
            <w:textDirection w:val="lrTb"/>
            <w:noWrap w:val="false"/>
          </w:tcPr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b w:val="0"/>
                <w:bCs w:val="0"/>
                <w:sz w:val="24"/>
                <w:szCs w:val="24"/>
                <w:lang w:val="ru-RU" w:bidi="ar-SA"/>
              </w:rPr>
              <w:t xml:space="preserve">1.1.</w:t>
            </w:r>
            <w:r/>
          </w:p>
        </w:tc>
        <w:tc>
          <w:tcPr>
            <w:gridSpan w:val="4"/>
            <w:tcBorders>
              <w:top w:val="none" w:color="000000" w:sz="4" w:space="0"/>
              <w:right w:val="none" w:color="000000" w:sz="4" w:space="0"/>
            </w:tcBorders>
            <w:tcW w:w="8436" w:type="dxa"/>
            <w:vAlign w:val="center"/>
            <w:textDirection w:val="lrTb"/>
            <w:noWrap w:val="false"/>
          </w:tcPr>
          <w:p>
            <w:pPr>
              <w:pStyle w:val="774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b/>
                <w:sz w:val="24"/>
                <w:szCs w:val="24"/>
                <w:lang w:val="ru-RU" w:bidi="ar-SA"/>
              </w:rPr>
              <w:t xml:space="preserve">Общие требования к оказанию услуг</w:t>
            </w:r>
            <w:r/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b/>
                <w:sz w:val="24"/>
                <w:szCs w:val="24"/>
                <w:lang w:val="ru-RU" w:bidi="ar-SA"/>
              </w:rPr>
              <w:t xml:space="preserve">-//-</w:t>
            </w:r>
            <w:r/>
          </w:p>
        </w:tc>
        <w:tc>
          <w:tcPr>
            <w:tcBorders>
              <w:top w:val="none" w:color="000000" w:sz="4" w:space="0"/>
            </w:tcBorders>
            <w:tcW w:w="2208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b/>
                <w:sz w:val="24"/>
                <w:szCs w:val="24"/>
                <w:lang w:val="ru-RU" w:bidi="ar-SA"/>
              </w:rPr>
              <w:t xml:space="preserve">-//-</w:t>
            </w:r>
            <w:r/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7" w:type="dxa"/>
            <w:vAlign w:val="center"/>
            <w:textDirection w:val="lrTb"/>
            <w:noWrap w:val="false"/>
          </w:tcPr>
          <w:p>
            <w:pPr>
              <w:pStyle w:val="861"/>
              <w:numPr>
                <w:ilvl w:val="2"/>
                <w:numId w:val="6"/>
              </w:numPr>
              <w:contextualSpacing w:val="0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gridSpan w:val="3"/>
            <w:shd w:val="clear" w:color="auto" w:fill="ffffff"/>
            <w:tcBorders>
              <w:top w:val="none" w:color="000000" w:sz="4" w:space="0"/>
              <w:right w:val="none" w:color="000000" w:sz="4" w:space="0"/>
            </w:tcBorders>
            <w:tcW w:w="2028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sz w:val="21"/>
                <w:szCs w:val="21"/>
                <w:shd w:val="clear" w:color="auto" w:fill="ffffff"/>
                <w:lang w:val="ru-RU" w:bidi="ar-SA"/>
              </w:rPr>
              <w:t xml:space="preserve">Соблюдение при оказании услуг норм и правил нормативно-технических документов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right w:val="none" w:color="000000" w:sz="4" w:space="0"/>
            </w:tcBorders>
            <w:tcW w:w="6408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b w:val="0"/>
                <w:bCs w:val="0"/>
                <w:color w:val="000000" w:themeColor="text1"/>
                <w:sz w:val="21"/>
                <w:szCs w:val="21"/>
                <w:lang w:val="ru-RU" w:bidi="ar-SA"/>
              </w:rPr>
              <w:t xml:space="preserve">При оказании услуг </w:t>
            </w:r>
            <w:r>
              <w:rPr>
                <w:rFonts w:eastAsia="Calibri"/>
                <w:b w:val="0"/>
                <w:bCs w:val="0"/>
                <w:sz w:val="21"/>
                <w:szCs w:val="21"/>
                <w:lang w:val="ru-RU" w:bidi="ar-SA"/>
              </w:rPr>
              <w:t xml:space="preserve">по проведению комплексного диагностического обследования турбогенератора</w:t>
            </w:r>
            <w:r>
              <w:rPr>
                <w:b w:val="0"/>
                <w:bCs w:val="0"/>
                <w:color w:val="000000" w:themeColor="text1"/>
                <w:sz w:val="21"/>
                <w:szCs w:val="21"/>
                <w:lang w:val="ru-RU" w:bidi="ar-SA"/>
              </w:rPr>
              <w:t xml:space="preserve"> подрядчик обязан руководствоваться требованиями следующих нормативно-технических документов (НТД):</w:t>
            </w:r>
            <w:r>
              <w:rPr>
                <w:lang w:val="ru-RU" w:bidi="ar-SA"/>
              </w:rPr>
            </w:r>
            <w:r/>
          </w:p>
          <w:p>
            <w:pPr>
              <w:pStyle w:val="774"/>
              <w:numPr>
                <w:ilvl w:val="0"/>
                <w:numId w:val="9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18" w:leader="none"/>
                <w:tab w:val="clear" w:pos="708" w:leader="none"/>
              </w:tabs>
            </w:pPr>
            <w:r>
              <w:rPr>
                <w:color w:val="000000"/>
                <w:sz w:val="21"/>
                <w:szCs w:val="21"/>
                <w:lang w:val="ru-RU" w:bidi="ar-SA"/>
              </w:rPr>
              <w:t xml:space="preserve">Правила технической эксплуатации электрических станций и сетей РФ. </w:t>
            </w:r>
            <w:r>
              <w:rPr>
                <w:color w:val="333333"/>
                <w:sz w:val="21"/>
                <w:szCs w:val="21"/>
                <w:shd w:val="clear" w:color="auto" w:fill="ffffff"/>
                <w:lang w:val="ru-RU" w:bidi="ar-SA"/>
              </w:rPr>
              <w:t xml:space="preserve">Приказ Минэнерго РФ от 04.10.2022 N 1070</w:t>
            </w:r>
            <w:r/>
          </w:p>
          <w:p>
            <w:pPr>
              <w:pStyle w:val="774"/>
              <w:numPr>
                <w:ilvl w:val="0"/>
                <w:numId w:val="9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18" w:leader="none"/>
                <w:tab w:val="clear" w:pos="708" w:leader="none"/>
              </w:tabs>
            </w:pPr>
            <w:r>
              <w:rPr>
                <w:color w:val="000000"/>
                <w:sz w:val="21"/>
                <w:szCs w:val="21"/>
                <w:lang w:val="ru-RU" w:bidi="ar-SA"/>
              </w:rPr>
              <w:t xml:space="preserve">РД 153-34.1-20.602-2002. Основные положение и требования договора на выполнение работ по ремонту оборудования электростанций.</w:t>
            </w:r>
            <w:r/>
          </w:p>
          <w:p>
            <w:pPr>
              <w:pStyle w:val="774"/>
              <w:numPr>
                <w:ilvl w:val="0"/>
                <w:numId w:val="9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18" w:leader="none"/>
                <w:tab w:val="clear" w:pos="708" w:leader="none"/>
              </w:tabs>
            </w:pPr>
            <w:r>
              <w:rPr>
                <w:color w:val="000000"/>
                <w:sz w:val="21"/>
                <w:szCs w:val="21"/>
                <w:lang w:val="ru-RU" w:bidi="ar-SA"/>
              </w:rPr>
              <w:t xml:space="preserve">СРМ-2000 (Приложение к СРМ п.6,5) Электротехническая часть.</w:t>
            </w:r>
            <w:r/>
          </w:p>
          <w:p>
            <w:pPr>
              <w:pStyle w:val="774"/>
              <w:numPr>
                <w:ilvl w:val="0"/>
                <w:numId w:val="9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3" w:leader="none"/>
                <w:tab w:val="left" w:pos="262" w:leader="none"/>
                <w:tab w:val="left" w:pos="459" w:leader="none"/>
                <w:tab w:val="clear" w:pos="708" w:leader="none"/>
              </w:tabs>
            </w:pPr>
            <w:r>
              <w:rPr>
                <w:color w:val="000000"/>
                <w:sz w:val="21"/>
                <w:szCs w:val="21"/>
                <w:lang w:val="ru-RU" w:bidi="ar-SA"/>
              </w:rPr>
              <w:t xml:space="preserve">Правила организации технического обслуживания и ремонта объектов электроэнергетики (Приказ Минэнерго России (Министерства энергетики РФ) от 25 октября 2017 г. №1013)</w:t>
            </w:r>
            <w:r/>
          </w:p>
          <w:p>
            <w:pPr>
              <w:pStyle w:val="774"/>
              <w:numPr>
                <w:ilvl w:val="0"/>
                <w:numId w:val="9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18" w:leader="none"/>
                <w:tab w:val="clear" w:pos="708" w:leader="none"/>
              </w:tabs>
            </w:pPr>
            <w:r>
              <w:rPr>
                <w:color w:val="000000"/>
                <w:sz w:val="21"/>
                <w:szCs w:val="21"/>
                <w:lang w:val="ru-RU" w:bidi="ar-SA"/>
              </w:rPr>
              <w:t xml:space="preserve">Положением   ОАО «ДГК» «О взаимодействии с подрядными организациями в области охраны труда, промышленной и пожарной безопасности».</w:t>
            </w:r>
            <w:r/>
          </w:p>
          <w:p>
            <w:pPr>
              <w:pStyle w:val="861"/>
              <w:numPr>
                <w:ilvl w:val="0"/>
                <w:numId w:val="9"/>
              </w:numPr>
              <w:contextualSpacing w:val="0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3" w:leader="none"/>
                <w:tab w:val="left" w:pos="262" w:leader="none"/>
                <w:tab w:val="left" w:pos="459" w:leader="none"/>
                <w:tab w:val="clear" w:pos="708" w:leader="none"/>
              </w:tabs>
            </w:pPr>
            <w:r>
              <w:rPr>
                <w:color w:val="000000"/>
                <w:sz w:val="21"/>
                <w:szCs w:val="21"/>
                <w:lang w:val="ru-RU" w:bidi="ar-SA"/>
              </w:rPr>
              <w:t xml:space="preserve">- РД 153-34.0-03.301-00   Правила пожарной безопасности для энергетических предприятий.</w:t>
            </w:r>
            <w:r/>
          </w:p>
          <w:p>
            <w:pPr>
              <w:pStyle w:val="774"/>
              <w:numPr>
                <w:ilvl w:val="0"/>
                <w:numId w:val="9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3" w:leader="none"/>
                <w:tab w:val="left" w:pos="262" w:leader="none"/>
                <w:tab w:val="left" w:pos="459" w:leader="none"/>
                <w:tab w:val="clear" w:pos="708" w:leader="none"/>
              </w:tabs>
            </w:pPr>
            <w:r>
              <w:rPr>
                <w:color w:val="000000"/>
                <w:sz w:val="21"/>
                <w:szCs w:val="21"/>
                <w:lang w:val="ru-RU" w:bidi="ar-SA"/>
              </w:rPr>
              <w:t xml:space="preserve">Правила по охране труда при эксплуатации электроустановок (№ 903 н от 15.12.2020 г.)</w:t>
            </w:r>
            <w:r/>
          </w:p>
          <w:p>
            <w:pPr>
              <w:pStyle w:val="774"/>
              <w:numPr>
                <w:ilvl w:val="0"/>
                <w:numId w:val="9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18" w:leader="none"/>
                <w:tab w:val="clear" w:pos="708" w:leader="none"/>
              </w:tabs>
            </w:pPr>
            <w:r>
              <w:rPr>
                <w:color w:val="000000"/>
                <w:sz w:val="21"/>
                <w:szCs w:val="21"/>
                <w:lang w:val="ru-RU" w:bidi="ar-SA"/>
              </w:rPr>
              <w:t xml:space="preserve">РД 34.45-51.300-97 Объемы и нормы испытания электрооборудования.</w:t>
            </w:r>
            <w:r/>
          </w:p>
          <w:p>
            <w:pPr>
              <w:pStyle w:val="774"/>
              <w:numPr>
                <w:ilvl w:val="0"/>
                <w:numId w:val="9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18" w:leader="none"/>
                <w:tab w:val="clear" w:pos="708" w:leader="none"/>
              </w:tabs>
            </w:pPr>
            <w:r>
              <w:rPr>
                <w:color w:val="000000"/>
                <w:sz w:val="21"/>
                <w:szCs w:val="21"/>
                <w:lang w:val="ru-RU" w:bidi="ar-SA"/>
              </w:rPr>
              <w:t xml:space="preserve">ГОСТ 12.2.007.0-75 Система стандартов безопасности труда. Изделия электротехнические. Общие требования безопасности.</w:t>
            </w:r>
            <w:r/>
          </w:p>
          <w:p>
            <w:pPr>
              <w:pStyle w:val="774"/>
              <w:numPr>
                <w:ilvl w:val="0"/>
                <w:numId w:val="9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18" w:leader="none"/>
                <w:tab w:val="clear" w:pos="708" w:leader="none"/>
              </w:tabs>
            </w:pPr>
            <w:r>
              <w:rPr>
                <w:color w:val="000000"/>
                <w:sz w:val="21"/>
                <w:szCs w:val="21"/>
                <w:lang w:val="ru-RU" w:bidi="ar-SA"/>
              </w:rPr>
              <w:t xml:space="preserve">ГОСТ 12.2.007.2-75 Система стандартов безопасности труда.</w:t>
            </w:r>
            <w:r/>
          </w:p>
          <w:p>
            <w:pPr>
              <w:pStyle w:val="774"/>
              <w:numPr>
                <w:ilvl w:val="0"/>
                <w:numId w:val="9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18" w:leader="none"/>
                <w:tab w:val="clear" w:pos="708" w:leader="none"/>
              </w:tabs>
            </w:pPr>
            <w:r>
              <w:rPr>
                <w:color w:val="000000"/>
                <w:sz w:val="21"/>
                <w:szCs w:val="21"/>
                <w:lang w:val="ru-RU" w:bidi="ar-SA"/>
              </w:rPr>
              <w:t xml:space="preserve">ГОСТ 1516.3-96 Электрооборудование переменного тока на напряжения от 1 до - 750 кВ. Требования к электрической прочности изоляции.</w:t>
            </w:r>
            <w:r/>
          </w:p>
          <w:p>
            <w:pPr>
              <w:pStyle w:val="774"/>
              <w:numPr>
                <w:ilvl w:val="0"/>
                <w:numId w:val="9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18" w:leader="none"/>
                <w:tab w:val="clear" w:pos="708" w:leader="none"/>
              </w:tabs>
            </w:pPr>
            <w:r>
              <w:rPr>
                <w:color w:val="000000"/>
                <w:sz w:val="21"/>
                <w:szCs w:val="21"/>
                <w:lang w:val="ru-RU" w:bidi="ar-SA"/>
              </w:rPr>
              <w:t xml:space="preserve">ГОСТ 8865-93 Системы электрической изоляции. Оценка нагревостойкости и классификация.</w:t>
            </w:r>
            <w:r/>
          </w:p>
          <w:p>
            <w:pPr>
              <w:pStyle w:val="774"/>
              <w:numPr>
                <w:ilvl w:val="0"/>
                <w:numId w:val="9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18" w:leader="none"/>
                <w:tab w:val="clear" w:pos="708" w:leader="none"/>
              </w:tabs>
            </w:pPr>
            <w:r>
              <w:rPr>
                <w:color w:val="000000"/>
                <w:sz w:val="21"/>
                <w:szCs w:val="21"/>
                <w:lang w:val="ru-RU" w:bidi="ar-SA"/>
              </w:rPr>
              <w:t xml:space="preserve">ГОСТ 10434-82 Соединения контактные электрические. Классификация. Общие технические требования.</w:t>
            </w:r>
            <w:r/>
          </w:p>
          <w:p>
            <w:pPr>
              <w:pStyle w:val="774"/>
              <w:numPr>
                <w:ilvl w:val="0"/>
                <w:numId w:val="9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18" w:leader="none"/>
                <w:tab w:val="clear" w:pos="708" w:leader="none"/>
              </w:tabs>
            </w:pPr>
            <w:r>
              <w:rPr>
                <w:color w:val="000000"/>
                <w:sz w:val="21"/>
                <w:szCs w:val="21"/>
                <w:shd w:val="clear" w:color="auto" w:fill="ffffff"/>
                <w:lang w:val="ru-RU" w:bidi="ar-SA"/>
              </w:rPr>
              <w:t xml:space="preserve">ГОСТ 14254-2015</w:t>
            </w:r>
            <w:r>
              <w:rPr>
                <w:color w:val="000000"/>
                <w:sz w:val="21"/>
                <w:szCs w:val="21"/>
                <w:lang w:val="ru-RU" w:bidi="ar-SA"/>
              </w:rPr>
              <w:t xml:space="preserve"> (МЭК 529-89) Степени защиты, обеспечиваемые оболочками (Код IP).</w:t>
            </w:r>
            <w:r/>
          </w:p>
          <w:p>
            <w:pPr>
              <w:pStyle w:val="774"/>
              <w:numPr>
                <w:ilvl w:val="0"/>
                <w:numId w:val="9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18" w:leader="none"/>
                <w:tab w:val="clear" w:pos="708" w:leader="none"/>
              </w:tabs>
            </w:pPr>
            <w:r>
              <w:rPr>
                <w:color w:val="000000"/>
                <w:sz w:val="21"/>
                <w:szCs w:val="21"/>
                <w:lang w:val="ru-RU" w:bidi="ar-SA"/>
              </w:rPr>
              <w:t xml:space="preserve">ГОСТ 15543.1-89 Изделия электротехнические. Общие требования в части стойкости к климатическим внешним воздействующим факторам.</w:t>
            </w:r>
            <w:r/>
          </w:p>
          <w:p>
            <w:pPr>
              <w:pStyle w:val="774"/>
              <w:numPr>
                <w:ilvl w:val="0"/>
                <w:numId w:val="9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18" w:leader="none"/>
                <w:tab w:val="clear" w:pos="708" w:leader="none"/>
              </w:tabs>
            </w:pPr>
            <w:r>
              <w:rPr>
                <w:color w:val="000000"/>
                <w:sz w:val="21"/>
                <w:szCs w:val="21"/>
                <w:lang w:val="ru-RU" w:bidi="ar-SA"/>
              </w:rPr>
              <w:t xml:space="preserve">ГОСТ 17516.1-90 Изделия электротехнические. Общие требования в части стойкости к механическим внешним воздействующим факторам.</w:t>
            </w:r>
            <w:bookmarkStart w:id="21" w:name="undefined_Копия_3"/>
            <w:r/>
            <w:bookmarkEnd w:id="21"/>
            <w:r>
              <w:rPr>
                <w:sz w:val="24"/>
                <w:szCs w:val="24"/>
              </w:rPr>
            </w:r>
            <w:r/>
          </w:p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clear" w:pos="708" w:leader="none"/>
                <w:tab w:val="left" w:pos="6702" w:leader="none"/>
                <w:tab w:val="left" w:pos="6936" w:leader="none"/>
              </w:tabs>
            </w:pPr>
            <w:r>
              <w:rPr>
                <w:sz w:val="21"/>
                <w:szCs w:val="21"/>
                <w:lang w:val="ru-RU" w:bidi="ar-SA"/>
              </w:rPr>
              <w:t xml:space="preserve">Оценка технического состояния генераторов СП «Амурская ТЭЦ-1» АО «ДГК» проводится в соответствии с  требованиями:</w:t>
            </w:r>
            <w:r/>
          </w:p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clear" w:pos="708" w:leader="none"/>
                <w:tab w:val="left" w:pos="6702" w:leader="none"/>
                <w:tab w:val="left" w:pos="6936" w:leader="none"/>
              </w:tabs>
            </w:pPr>
            <w:r>
              <w:rPr>
                <w:sz w:val="21"/>
                <w:szCs w:val="21"/>
                <w:lang w:val="ru-RU" w:bidi="ar-SA"/>
              </w:rPr>
              <w:t xml:space="preserve">- Методики оценки технического состояния основного технологического оборудования и линий электропередачи электрических станций и электрических сетей (с изменениями на 17 марта 2020 года Приказ Министерства энергетики РФ №192);</w:t>
            </w:r>
            <w:r/>
          </w:p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clear" w:pos="708" w:leader="none"/>
                <w:tab w:val="left" w:pos="6702" w:leader="none"/>
                <w:tab w:val="left" w:pos="6936" w:leader="none"/>
              </w:tabs>
            </w:pPr>
            <w:r>
              <w:rPr>
                <w:sz w:val="21"/>
                <w:szCs w:val="21"/>
                <w:lang w:val="ru-RU" w:bidi="ar-SA"/>
              </w:rPr>
              <w:t xml:space="preserve">-  Руководства  по повышению надежности эксплуатации бандажных узлов роторов турбогенераторов, утвержденных приказом ОАО РАО  «ЕЭС России» от 05.04.2007 №232;</w:t>
            </w:r>
            <w:r/>
          </w:p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clear" w:pos="708" w:leader="none"/>
                <w:tab w:val="left" w:pos="6702" w:leader="none"/>
                <w:tab w:val="left" w:pos="6936" w:leader="none"/>
              </w:tabs>
            </w:pPr>
            <w:r>
              <w:rPr>
                <w:sz w:val="21"/>
                <w:szCs w:val="21"/>
                <w:lang w:val="ru-RU" w:bidi="ar-SA"/>
              </w:rPr>
              <w:t xml:space="preserve">-Типовой инструкции «Проведение ремонта и модернизации активной стали с использованием современных методов диагностики и контроля технического      состояния турбогенераторов».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right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highlight w:val="none"/>
                <w:shd w:val="clear" w:color="auto" w:fill="ffffff"/>
              </w:rPr>
            </w:pPr>
            <w:r>
              <w:rPr>
                <w:i w:val="0"/>
                <w:iCs w:val="0"/>
                <w:sz w:val="22"/>
                <w:szCs w:val="22"/>
                <w:shd w:val="clear" w:color="auto" w:fill="ffffff"/>
                <w:lang w:val="ru-RU" w:bidi="ar-SA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highlight w:val="none"/>
                <w:shd w:val="clear" w:color="auto" w:fill="ffffff"/>
              </w:rPr>
            </w:r>
            <w:r>
              <w:rPr>
                <w:highlight w:val="none"/>
                <w:shd w:val="clear" w:color="auto" w:fill="ffffff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</w:tcBorders>
            <w:tcW w:w="2208" w:type="dxa"/>
            <w:textDirection w:val="lrTb"/>
            <w:noWrap w:val="false"/>
          </w:tcPr>
          <w:p>
            <w:pPr>
              <w:pStyle w:val="863"/>
              <w:numPr>
                <w:ilvl w:val="0"/>
                <w:numId w:val="0"/>
              </w:numPr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Calibri" w:hAnsi="Calibri" w:eastAsia="Times New Roman" w:cs="Arial"/>
                <w:sz w:val="20"/>
                <w:szCs w:val="20"/>
                <w:lang w:val="ru-RU" w:eastAsia="ru-RU" w:bidi="ar-SA"/>
              </w:rPr>
              <w:outlineLvl w:val="2"/>
            </w:pPr>
            <w:r>
              <w:rPr>
                <w:rFonts w:ascii="Calibri" w:hAnsi="Calibri" w:eastAsia="Times New Roman" w:cs="Arial"/>
                <w:sz w:val="20"/>
                <w:szCs w:val="20"/>
                <w:lang w:val="ru-RU" w:eastAsia="ru-RU" w:bidi="ar-SA"/>
              </w:rPr>
            </w:r>
            <w:r>
              <w:rPr>
                <w:rFonts w:ascii="Calibri" w:hAnsi="Calibri" w:eastAsia="Times New Roman" w:cs="Arial"/>
                <w:sz w:val="20"/>
                <w:szCs w:val="20"/>
                <w:lang w:val="ru-RU" w:eastAsia="ru-RU" w:bidi="ar-SA"/>
              </w:rPr>
            </w:r>
            <w:r>
              <w:rPr>
                <w:rFonts w:ascii="Calibri" w:hAnsi="Calibri" w:eastAsia="Times New Roman" w:cs="Arial"/>
                <w:sz w:val="20"/>
                <w:szCs w:val="20"/>
                <w:lang w:val="ru-RU" w:eastAsia="ru-RU" w:bidi="ar-SA"/>
              </w:rPr>
            </w:r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7" w:type="dxa"/>
            <w:vAlign w:val="center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4"/>
            <w:tcBorders>
              <w:top w:val="none" w:color="000000" w:sz="4" w:space="0"/>
              <w:right w:val="none" w:color="000000" w:sz="4" w:space="0"/>
            </w:tcBorders>
            <w:tcW w:w="8436" w:type="dxa"/>
            <w:vAlign w:val="center"/>
            <w:textDirection w:val="lrTb"/>
            <w:noWrap w:val="false"/>
          </w:tcPr>
          <w:p>
            <w:pPr>
              <w:pStyle w:val="774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b/>
                <w:sz w:val="24"/>
                <w:szCs w:val="24"/>
                <w:lang w:val="ru-RU" w:bidi="ar-SA"/>
              </w:rPr>
              <w:t xml:space="preserve">Требования к организации услуг</w:t>
            </w:r>
            <w:r/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b/>
                <w:sz w:val="24"/>
                <w:szCs w:val="24"/>
                <w:lang w:val="ru-RU" w:bidi="ar-SA"/>
              </w:rPr>
              <w:t xml:space="preserve">-//-</w:t>
            </w:r>
            <w:r/>
          </w:p>
        </w:tc>
        <w:tc>
          <w:tcPr>
            <w:tcBorders>
              <w:top w:val="none" w:color="000000" w:sz="4" w:space="0"/>
            </w:tcBorders>
            <w:tcW w:w="2208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b/>
                <w:sz w:val="24"/>
                <w:szCs w:val="24"/>
                <w:lang w:val="ru-RU" w:bidi="ar-SA"/>
              </w:rPr>
              <w:t xml:space="preserve">-//-</w:t>
            </w:r>
            <w:r/>
          </w:p>
        </w:tc>
      </w:tr>
      <w:tr>
        <w:tblPrEx/>
        <w:trPr>
          <w:cantSplit/>
          <w:trHeight w:val="320"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7" w:type="dxa"/>
            <w:vAlign w:val="center"/>
            <w:textDirection w:val="lrTb"/>
            <w:noWrap w:val="false"/>
          </w:tcPr>
          <w:p>
            <w:pPr>
              <w:pStyle w:val="861"/>
              <w:numPr>
                <w:ilvl w:val="2"/>
                <w:numId w:val="6"/>
              </w:numPr>
              <w:contextualSpacing w:val="0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lang w:val="ru-RU" w:bidi="ar-SA"/>
              </w:rPr>
            </w:pP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  <w:r>
              <w:rPr>
                <w:lang w:val="ru-RU" w:bidi="ar-SA"/>
              </w:rPr>
            </w:r>
          </w:p>
        </w:tc>
        <w:tc>
          <w:tcPr>
            <w:gridSpan w:val="3"/>
            <w:tcBorders>
              <w:top w:val="none" w:color="000000" w:sz="4" w:space="0"/>
              <w:right w:val="none" w:color="000000" w:sz="4" w:space="0"/>
            </w:tcBorders>
            <w:tcW w:w="2028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</w:pPr>
            <w:r>
              <w:rPr>
                <w:sz w:val="21"/>
                <w:szCs w:val="21"/>
                <w:shd w:val="clear" w:color="auto" w:fill="ffffff"/>
                <w:lang w:val="ru-RU" w:bidi="ar-SA"/>
              </w:rPr>
              <w:t xml:space="preserve">Требования к организации процесса оказания услуг:</w:t>
            </w:r>
            <w:r/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6408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b/>
                <w:bCs/>
                <w:sz w:val="21"/>
                <w:szCs w:val="21"/>
                <w:lang w:val="ru-RU" w:bidi="ar-SA"/>
              </w:rPr>
              <w:t xml:space="preserve">Исполнитель должен:</w:t>
            </w:r>
            <w:r/>
          </w:p>
          <w:p>
            <w:pPr>
              <w:pStyle w:val="861"/>
              <w:numPr>
                <w:ilvl w:val="0"/>
                <w:numId w:val="11"/>
              </w:numPr>
              <w:contextualSpacing w:val="0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29" w:leader="none"/>
                <w:tab w:val="clear" w:pos="708" w:leader="none"/>
              </w:tabs>
            </w:pPr>
            <w:r>
              <w:rPr>
                <w:bCs/>
                <w:sz w:val="21"/>
                <w:szCs w:val="21"/>
                <w:lang w:val="ru-RU" w:bidi="ar-SA"/>
              </w:rPr>
              <w:t xml:space="preserve">Разработать программу</w:t>
            </w:r>
            <w:r>
              <w:rPr>
                <w:sz w:val="21"/>
                <w:szCs w:val="21"/>
                <w:lang w:val="ru-RU" w:bidi="ar-SA"/>
              </w:rPr>
              <w:t xml:space="preserve">, согласовать с «Заказчиком»  за 15 дней до начала натурных обследований.</w:t>
            </w:r>
            <w:r/>
          </w:p>
          <w:p>
            <w:pPr>
              <w:pStyle w:val="861"/>
              <w:numPr>
                <w:ilvl w:val="0"/>
                <w:numId w:val="11"/>
              </w:numPr>
              <w:contextualSpacing w:val="0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29" w:leader="none"/>
                <w:tab w:val="clear" w:pos="708" w:leader="none"/>
              </w:tabs>
            </w:pPr>
            <w:r>
              <w:rPr>
                <w:bCs/>
                <w:sz w:val="21"/>
                <w:szCs w:val="21"/>
                <w:lang w:val="ru-RU" w:bidi="ar-SA"/>
              </w:rPr>
              <w:t xml:space="preserve">Провести полное  комплексное диагностическое обследование  турбогенератора.</w:t>
            </w:r>
            <w:r/>
          </w:p>
          <w:p>
            <w:pPr>
              <w:pStyle w:val="861"/>
              <w:numPr>
                <w:ilvl w:val="0"/>
                <w:numId w:val="11"/>
              </w:numPr>
              <w:contextualSpacing w:val="0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29" w:leader="none"/>
                <w:tab w:val="clear" w:pos="708" w:leader="none"/>
              </w:tabs>
            </w:pPr>
            <w:r>
              <w:rPr>
                <w:sz w:val="21"/>
                <w:szCs w:val="21"/>
                <w:lang w:val="ru-RU" w:bidi="ar-SA"/>
              </w:rPr>
              <w:t xml:space="preserve">   </w:t>
            </w:r>
            <w:r>
              <w:rPr>
                <w:sz w:val="21"/>
                <w:szCs w:val="21"/>
                <w:lang w:val="ru-RU" w:bidi="ar-SA"/>
              </w:rPr>
              <w:t xml:space="preserve">Заказчик вправе в любое время проверять ход и качество услуги, выполняемой Исполнителем не вмешиваясь в его организационную деятельность.</w:t>
            </w:r>
            <w:r/>
          </w:p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b/>
                <w:sz w:val="21"/>
                <w:szCs w:val="21"/>
                <w:lang w:val="ru-RU" w:bidi="ar-SA"/>
              </w:rPr>
              <w:t xml:space="preserve">Заказчик вправе вмешаться в производство оказания услуг Исполнителя, если последний:</w:t>
            </w:r>
            <w:r/>
          </w:p>
          <w:p>
            <w:pPr>
              <w:pStyle w:val="861"/>
              <w:numPr>
                <w:ilvl w:val="0"/>
                <w:numId w:val="10"/>
              </w:numPr>
              <w:contextualSpacing w:val="0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29" w:leader="none"/>
                <w:tab w:val="clear" w:pos="708" w:leader="none"/>
              </w:tabs>
            </w:pPr>
            <w:r>
              <w:rPr>
                <w:sz w:val="21"/>
                <w:szCs w:val="21"/>
                <w:lang w:val="ru-RU" w:bidi="ar-SA"/>
              </w:rPr>
              <w:t xml:space="preserve">Своим</w:t>
            </w:r>
            <w:r>
              <w:rPr>
                <w:sz w:val="21"/>
                <w:szCs w:val="21"/>
                <w:lang w:val="ru-RU" w:bidi="ar-SA"/>
              </w:rPr>
              <w:t xml:space="preserve">и действиями вызвал угрозу нарушения нормальной эксплуатации действующего оборудования или нарушает ПТЭ, ПТБ, правила Ростехнадзора РФ, правила противопожарной безопасности или угрозу жизни и здоровью людей, или угрозу экологической безопасности населения.</w:t>
            </w:r>
            <w:r/>
          </w:p>
          <w:p>
            <w:pPr>
              <w:pStyle w:val="861"/>
              <w:numPr>
                <w:ilvl w:val="0"/>
                <w:numId w:val="10"/>
              </w:numPr>
              <w:contextualSpacing w:val="0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29" w:leader="none"/>
                <w:tab w:val="clear" w:pos="708" w:leader="none"/>
              </w:tabs>
            </w:pPr>
            <w:r>
              <w:rPr>
                <w:sz w:val="21"/>
                <w:szCs w:val="21"/>
                <w:lang w:val="ru-RU" w:bidi="ar-SA"/>
              </w:rPr>
              <w:t xml:space="preserve">Оказывает услуги с нарушением согласованного графика, если окончание их в срок невозможно.</w:t>
            </w:r>
            <w:r/>
          </w:p>
          <w:p>
            <w:pPr>
              <w:pStyle w:val="861"/>
              <w:numPr>
                <w:ilvl w:val="0"/>
                <w:numId w:val="10"/>
              </w:numPr>
              <w:contextualSpacing w:val="0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29" w:leader="none"/>
                <w:tab w:val="clear" w:pos="708" w:leader="none"/>
              </w:tabs>
            </w:pPr>
            <w:r>
              <w:rPr>
                <w:sz w:val="21"/>
                <w:szCs w:val="21"/>
                <w:lang w:val="ru-RU" w:bidi="ar-SA"/>
              </w:rPr>
              <w:t xml:space="preserve">Допустил дефекты, которые могут быть скрыты последующими работами.</w:t>
            </w:r>
            <w:r/>
          </w:p>
          <w:p>
            <w:pPr>
              <w:pStyle w:val="861"/>
              <w:numPr>
                <w:ilvl w:val="0"/>
                <w:numId w:val="10"/>
              </w:numPr>
              <w:contextualSpacing w:val="0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29" w:leader="none"/>
                <w:tab w:val="clear" w:pos="708" w:leader="none"/>
              </w:tabs>
            </w:pPr>
            <w:r>
              <w:rPr>
                <w:sz w:val="21"/>
                <w:szCs w:val="21"/>
                <w:lang w:val="ru-RU" w:bidi="ar-SA"/>
              </w:rPr>
              <w:t xml:space="preserve">Не выполняет требования технологической и нормативно-технической документации.</w:t>
            </w:r>
            <w:r/>
          </w:p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29" w:leader="none"/>
                <w:tab w:val="clear" w:pos="708" w:leader="none"/>
              </w:tabs>
            </w:pPr>
            <w:r>
              <w:rPr>
                <w:sz w:val="21"/>
                <w:szCs w:val="21"/>
                <w:lang w:val="ru-RU" w:bidi="ar-SA"/>
              </w:rPr>
              <w:t xml:space="preserve">В этих случаях Заказчик вправе потребовать от Исполнителя  устранить указанные нарушения. Если Исполнителем не будут приняты меры по устранению замечаний, Заказчик вправе расторгнуть Договор.</w:t>
            </w:r>
            <w:r/>
          </w:p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29" w:leader="none"/>
                <w:tab w:val="clear" w:pos="708" w:leader="none"/>
              </w:tabs>
            </w:pPr>
            <w:r>
              <w:rPr>
                <w:sz w:val="21"/>
                <w:szCs w:val="21"/>
                <w:lang w:val="ru-RU" w:bidi="ar-SA"/>
              </w:rPr>
              <w:t xml:space="preserve">Контроль качества выполнения услуг по диагностике оборудования должны производиться в соответствии:</w:t>
            </w:r>
            <w:r/>
          </w:p>
          <w:p>
            <w:pPr>
              <w:pStyle w:val="861"/>
              <w:numPr>
                <w:ilvl w:val="0"/>
                <w:numId w:val="12"/>
              </w:numPr>
              <w:contextualSpacing w:val="0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tabs>
                <w:tab w:val="left" w:pos="34" w:leader="none"/>
                <w:tab w:val="left" w:pos="262" w:leader="none"/>
                <w:tab w:val="left" w:pos="459" w:leader="none"/>
                <w:tab w:val="clear" w:pos="708" w:leader="none"/>
              </w:tabs>
            </w:pPr>
            <w:r>
              <w:rPr>
                <w:sz w:val="21"/>
                <w:szCs w:val="21"/>
                <w:lang w:val="ru-RU" w:bidi="ar-SA"/>
              </w:rPr>
              <w:t xml:space="preserve">Правилами организации технического обслуживания и ремонта объектов электроэнергетики (Приказ Минэнерго России (Министерства энергетики РФ) от 25 октября 2017 г. №1013)</w:t>
            </w:r>
            <w:r/>
          </w:p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29" w:leader="none"/>
                <w:tab w:val="clear" w:pos="708" w:leader="none"/>
              </w:tabs>
            </w:pPr>
            <w:r>
              <w:rPr>
                <w:sz w:val="21"/>
                <w:szCs w:val="21"/>
                <w:lang w:val="ru-RU" w:bidi="ar-SA"/>
              </w:rPr>
              <w:t xml:space="preserve">      </w:t>
            </w:r>
            <w:r>
              <w:rPr>
                <w:sz w:val="21"/>
                <w:szCs w:val="21"/>
                <w:lang w:val="ru-RU" w:bidi="ar-SA"/>
              </w:rPr>
              <w:t xml:space="preserve">с правилами технической эксплуатации электростанций и сетей Российской  Федерации. Зарегистрировано Минюстом России №4799 от 20.06.03г. (СО153-34.20.501-2003).</w:t>
            </w:r>
            <w:r/>
          </w:p>
          <w:p>
            <w:pPr>
              <w:pStyle w:val="861"/>
              <w:contextualSpacing w:val="0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sz w:val="21"/>
                <w:szCs w:val="21"/>
                <w:lang w:val="ru-RU" w:bidi="ar-SA"/>
              </w:rPr>
              <w:t xml:space="preserve">     </w:t>
            </w:r>
            <w:r>
              <w:rPr>
                <w:sz w:val="21"/>
                <w:szCs w:val="21"/>
                <w:lang w:val="ru-RU" w:bidi="ar-SA"/>
              </w:rPr>
              <w:t xml:space="preserve">с объемами и нормами испытаний электрооборудования РД 34.45-51.300-97.</w:t>
            </w:r>
            <w:r/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</w:pPr>
            <w:r>
              <w:rPr>
                <w:i/>
                <w:sz w:val="21"/>
                <w:szCs w:val="21"/>
                <w:lang w:val="ru-RU" w:bidi="ar-SA"/>
              </w:rPr>
              <w:t xml:space="preserve">Согласие с требованием</w:t>
            </w:r>
            <w:r/>
          </w:p>
        </w:tc>
        <w:tc>
          <w:tcPr>
            <w:tcBorders>
              <w:top w:val="none" w:color="000000" w:sz="4" w:space="0"/>
            </w:tcBorders>
            <w:tcW w:w="2208" w:type="dxa"/>
            <w:textDirection w:val="lrTb"/>
            <w:noWrap w:val="false"/>
          </w:tcPr>
          <w:p>
            <w:pPr>
              <w:pStyle w:val="863"/>
              <w:numPr>
                <w:ilvl w:val="0"/>
                <w:numId w:val="0"/>
              </w:numPr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Calibri" w:hAnsi="Calibri" w:eastAsia="Times New Roman" w:cs="Arial"/>
                <w:b w:val="0"/>
                <w:sz w:val="20"/>
                <w:szCs w:val="20"/>
                <w:lang w:val="ru-RU" w:eastAsia="ru-RU" w:bidi="ar-SA"/>
              </w:rPr>
              <w:outlineLvl w:val="2"/>
            </w:pPr>
            <w:r>
              <w:rPr>
                <w:rFonts w:ascii="Calibri" w:hAnsi="Calibri" w:eastAsia="Times New Roman" w:cs="Arial"/>
                <w:b w:val="0"/>
                <w:sz w:val="20"/>
                <w:szCs w:val="20"/>
                <w:lang w:val="ru-RU" w:eastAsia="ru-RU" w:bidi="ar-SA"/>
              </w:rPr>
            </w:r>
            <w:r>
              <w:rPr>
                <w:rFonts w:ascii="Calibri" w:hAnsi="Calibri" w:eastAsia="Times New Roman" w:cs="Arial"/>
                <w:b w:val="0"/>
                <w:sz w:val="20"/>
                <w:szCs w:val="20"/>
                <w:lang w:val="ru-RU" w:eastAsia="ru-RU" w:bidi="ar-SA"/>
              </w:rPr>
            </w:r>
            <w:r>
              <w:rPr>
                <w:rFonts w:ascii="Calibri" w:hAnsi="Calibri" w:eastAsia="Times New Roman" w:cs="Arial"/>
                <w:b w:val="0"/>
                <w:sz w:val="20"/>
                <w:szCs w:val="20"/>
                <w:lang w:val="ru-RU" w:eastAsia="ru-RU" w:bidi="ar-SA"/>
              </w:rPr>
            </w:r>
          </w:p>
        </w:tc>
      </w:tr>
      <w:tr>
        <w:tblPrEx/>
        <w:trPr>
          <w:cantSplit/>
          <w:trHeight w:val="320"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7" w:type="dxa"/>
            <w:vAlign w:val="center"/>
            <w:textDirection w:val="lrTb"/>
            <w:noWrap w:val="false"/>
          </w:tcPr>
          <w:p>
            <w:pPr>
              <w:pStyle w:val="861"/>
              <w:numPr>
                <w:ilvl w:val="2"/>
                <w:numId w:val="6"/>
              </w:numPr>
              <w:contextualSpacing w:val="0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right w:val="none" w:color="000000" w:sz="4" w:space="0"/>
            </w:tcBorders>
            <w:tcW w:w="2028" w:type="dxa"/>
            <w:vAlign w:val="center"/>
            <w:textDirection w:val="lrTb"/>
            <w:noWrap w:val="false"/>
          </w:tcPr>
          <w:p>
            <w:pPr>
              <w:pStyle w:val="774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</w:pPr>
            <w:r>
              <w:rPr>
                <w:i w:val="0"/>
                <w:iCs w:val="0"/>
                <w:sz w:val="21"/>
                <w:szCs w:val="21"/>
                <w:shd w:val="clear" w:color="auto" w:fill="ffffff"/>
                <w:lang w:val="ru-RU" w:bidi="ar-SA"/>
              </w:rPr>
              <w:t xml:space="preserve">Организационно-технические мероприятия по допуску персонала подрядчика</w:t>
            </w:r>
            <w:r/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6408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rFonts w:eastAsia="Calibri"/>
                <w:bCs/>
                <w:sz w:val="21"/>
                <w:szCs w:val="21"/>
                <w:shd w:val="clear" w:color="auto" w:fill="ffffff"/>
                <w:lang w:val="ru-RU" w:bidi="ar-SA"/>
              </w:rPr>
              <w:t xml:space="preserve">Допуск персонала подрядчика для выполнения работ должен осуществляться в соответствии с:</w:t>
            </w:r>
            <w:r/>
          </w:p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highlight w:val="white"/>
              </w:rPr>
            </w:pPr>
            <w:r>
              <w:rPr>
                <w:rFonts w:eastAsia="Calibri"/>
                <w:bCs/>
                <w:sz w:val="21"/>
                <w:szCs w:val="21"/>
                <w:shd w:val="clear" w:color="auto" w:fill="ffffff"/>
                <w:lang w:val="ru-RU" w:bidi="ar-SA"/>
              </w:rPr>
              <w:t xml:space="preserve"> </w:t>
            </w:r>
            <w:r>
              <w:rPr>
                <w:rFonts w:eastAsia="Calibri"/>
                <w:bCs/>
                <w:sz w:val="21"/>
                <w:szCs w:val="21"/>
                <w:shd w:val="clear" w:color="auto" w:fill="ffffff"/>
                <w:lang w:val="ru-RU" w:bidi="ar-SA"/>
              </w:rPr>
              <w:t xml:space="preserve">-</w:t>
            </w:r>
            <w:r>
              <w:rPr>
                <w:rFonts w:eastAsia="Calibri"/>
                <w:bCs/>
                <w:sz w:val="21"/>
                <w:szCs w:val="21"/>
                <w:highlight w:val="white"/>
                <w:shd w:val="clear" w:color="auto" w:fill="ffffff"/>
                <w:lang w:val="ru-RU" w:bidi="ar-SA"/>
              </w:rPr>
              <w:t xml:space="preserve"> </w:t>
            </w:r>
            <w:r>
              <w:rPr>
                <w:rFonts w:eastAsia="Calibri"/>
                <w:bCs/>
                <w:sz w:val="21"/>
                <w:szCs w:val="21"/>
                <w:highlight w:val="white"/>
                <w:shd w:val="clear" w:color="auto" w:fill="ffffff"/>
                <w:lang w:val="ru-RU" w:bidi="ar-SA"/>
              </w:rPr>
              <w:t xml:space="preserve">П</w:t>
            </w:r>
            <w:r>
              <w:rPr>
                <w:rFonts w:eastAsia="Calibri"/>
                <w:bCs/>
                <w:sz w:val="21"/>
                <w:szCs w:val="21"/>
                <w:highlight w:val="white"/>
                <w:shd w:val="clear" w:color="auto" w:fill="ffffff"/>
                <w:lang w:val="ru-RU" w:bidi="ar-SA"/>
              </w:rPr>
              <w:t xml:space="preserve">оложением о пропускном и внутриобъектовом режимах на объектах АО «ДГК» (Приложение № 2 к ТТ) </w:t>
            </w:r>
            <w:r>
              <w:rPr>
                <w:rFonts w:eastAsia="Calibri"/>
                <w:sz w:val="21"/>
                <w:szCs w:val="21"/>
                <w:highlight w:val="white"/>
                <w:shd w:val="clear" w:color="auto" w:fill="ffffff"/>
                <w:lang w:val="ru-RU" w:bidi="ar-SA"/>
              </w:rPr>
              <w:t xml:space="preserve">с обязательным оформлением необходимых нарядов-допусков</w:t>
            </w:r>
            <w:r>
              <w:rPr>
                <w:rFonts w:eastAsia="Calibri"/>
                <w:bCs/>
                <w:sz w:val="21"/>
                <w:szCs w:val="21"/>
                <w:highlight w:val="white"/>
                <w:shd w:val="clear" w:color="auto" w:fill="ffffff"/>
                <w:lang w:val="ru-RU" w:bidi="ar-SA"/>
              </w:rPr>
              <w:t xml:space="preserve"> и актов-допусков;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861"/>
              <w:numPr>
                <w:ilvl w:val="0"/>
                <w:numId w:val="7"/>
              </w:numPr>
              <w:contextualSpacing w:val="0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rFonts w:eastAsia="Calibri"/>
                <w:bCs/>
                <w:sz w:val="21"/>
                <w:szCs w:val="21"/>
                <w:shd w:val="clear" w:color="auto" w:fill="ffffff"/>
                <w:lang w:val="ru-RU" w:bidi="ar-SA"/>
              </w:rPr>
              <w:t xml:space="preserve">Положением о допуске персонала подрядных организаций к выполнению работ на объектах АО «ДГК» - 22.1-504-2025, </w:t>
            </w:r>
            <w:r>
              <w:rPr>
                <w:bCs/>
                <w:sz w:val="21"/>
                <w:szCs w:val="21"/>
                <w:shd w:val="clear" w:color="auto" w:fill="ffffff"/>
                <w:lang w:val="ru-RU" w:bidi="ar-SA"/>
              </w:rPr>
              <w:t xml:space="preserve">(утверждено приказом АО «ДГК» №795 от 25.09.2025) (Приложение № 2 к ТТ).</w:t>
            </w:r>
            <w:r/>
          </w:p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</w:pPr>
            <w:r>
              <w:rPr>
                <w:rFonts w:eastAsia="Calibri"/>
                <w:bCs/>
                <w:i/>
                <w:iCs/>
                <w:sz w:val="21"/>
                <w:szCs w:val="21"/>
                <w:shd w:val="clear" w:color="auto" w:fill="ffffff"/>
                <w:lang w:val="ru-RU" w:bidi="ar-SA"/>
              </w:rPr>
              <w:t xml:space="preserve">Более подробно требования к организации работ указаны в проекте договора подряда (в том числе в разделе №2), который включен в состав Документации о закупке</w:t>
            </w:r>
            <w:r/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sz w:val="21"/>
                <w:szCs w:val="21"/>
              </w:rPr>
            </w:pPr>
            <w:r>
              <w:rPr>
                <w:i/>
                <w:sz w:val="21"/>
                <w:szCs w:val="21"/>
                <w:lang w:val="ru-RU" w:bidi="ar-SA"/>
              </w:rPr>
              <w:t xml:space="preserve">Согласие с требованием</w: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none" w:color="000000" w:sz="4" w:space="0"/>
            </w:tcBorders>
            <w:tcW w:w="2208" w:type="dxa"/>
            <w:textDirection w:val="lrTb"/>
            <w:noWrap w:val="false"/>
          </w:tcPr>
          <w:p>
            <w:pPr>
              <w:pStyle w:val="863"/>
              <w:numPr>
                <w:ilvl w:val="0"/>
                <w:numId w:val="0"/>
              </w:numPr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Calibri" w:hAnsi="Calibri" w:eastAsia="Times New Roman" w:cs="Arial"/>
                <w:b w:val="0"/>
                <w:sz w:val="24"/>
                <w:szCs w:val="24"/>
                <w:lang w:val="ru-RU" w:eastAsia="ru-RU" w:bidi="ar-SA"/>
              </w:rPr>
              <w:outlineLvl w:val="2"/>
            </w:pPr>
            <w:r>
              <w:rPr>
                <w:rFonts w:ascii="Calibri" w:hAnsi="Calibri" w:eastAsia="Times New Roman" w:cs="Arial"/>
                <w:b w:val="0"/>
                <w:sz w:val="24"/>
                <w:szCs w:val="24"/>
                <w:lang w:val="ru-RU" w:eastAsia="ru-RU" w:bidi="ar-SA"/>
              </w:rPr>
            </w:r>
            <w:r>
              <w:rPr>
                <w:rFonts w:ascii="Calibri" w:hAnsi="Calibri" w:eastAsia="Times New Roman" w:cs="Arial"/>
                <w:b w:val="0"/>
                <w:sz w:val="24"/>
                <w:szCs w:val="24"/>
                <w:lang w:val="ru-RU" w:eastAsia="ru-RU" w:bidi="ar-SA"/>
              </w:rPr>
            </w:r>
            <w:r>
              <w:rPr>
                <w:rFonts w:ascii="Calibri" w:hAnsi="Calibri" w:eastAsia="Times New Roman" w:cs="Arial"/>
                <w:b w:val="0"/>
                <w:sz w:val="24"/>
                <w:szCs w:val="24"/>
                <w:lang w:val="ru-RU" w:eastAsia="ru-RU" w:bidi="ar-SA"/>
              </w:rPr>
            </w:r>
          </w:p>
        </w:tc>
      </w:tr>
      <w:tr>
        <w:tblPrEx/>
        <w:trPr>
          <w:cantSplit/>
          <w:trHeight w:val="399"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7" w:type="dxa"/>
            <w:vAlign w:val="center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none" w:color="000000" w:sz="4" w:space="0"/>
              <w:right w:val="none" w:color="000000" w:sz="4" w:space="0"/>
            </w:tcBorders>
            <w:tcW w:w="8436" w:type="dxa"/>
            <w:vAlign w:val="center"/>
            <w:textDirection w:val="lrTb"/>
            <w:noWrap w:val="false"/>
          </w:tcPr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</w:pPr>
            <w:r>
              <w:rPr>
                <w:b/>
                <w:sz w:val="24"/>
                <w:szCs w:val="24"/>
                <w:shd w:val="clear" w:color="auto" w:fill="ffffff"/>
                <w:lang w:val="ru-RU" w:bidi="ar-SA"/>
              </w:rPr>
              <w:t xml:space="preserve">Требования к контролю качества услуг</w:t>
            </w:r>
            <w:r/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b/>
                <w:sz w:val="24"/>
                <w:szCs w:val="24"/>
                <w:lang w:val="ru-RU" w:bidi="ar-SA"/>
              </w:rPr>
              <w:t xml:space="preserve">-//-</w:t>
            </w:r>
            <w:r/>
          </w:p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08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b/>
                <w:sz w:val="24"/>
                <w:szCs w:val="24"/>
                <w:lang w:val="ru-RU" w:bidi="ar-SA"/>
              </w:rPr>
              <w:t xml:space="preserve">-//-</w:t>
            </w:r>
            <w:r/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7" w:type="dxa"/>
            <w:vAlign w:val="center"/>
            <w:textDirection w:val="lrTb"/>
            <w:noWrap w:val="false"/>
          </w:tcPr>
          <w:p>
            <w:pPr>
              <w:pStyle w:val="861"/>
              <w:numPr>
                <w:ilvl w:val="2"/>
                <w:numId w:val="6"/>
              </w:numPr>
              <w:contextualSpacing w:val="0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3"/>
            <w:tcBorders>
              <w:top w:val="none" w:color="000000" w:sz="4" w:space="0"/>
              <w:right w:val="none" w:color="000000" w:sz="4" w:space="0"/>
            </w:tcBorders>
            <w:tcW w:w="2028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</w:pPr>
            <w:r>
              <w:rPr>
                <w:sz w:val="21"/>
                <w:szCs w:val="21"/>
                <w:shd w:val="clear" w:color="auto" w:fill="ffffff"/>
                <w:lang w:val="ru-RU" w:bidi="ar-SA"/>
              </w:rPr>
              <w:t xml:space="preserve">Требования к контролю качества оказания услуг</w:t>
            </w:r>
            <w:r/>
          </w:p>
          <w:p>
            <w:pPr>
              <w:pStyle w:val="774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b w:val="0"/>
                <w:bCs w:val="0"/>
                <w:sz w:val="21"/>
                <w:szCs w:val="21"/>
                <w:highlight w:val="none"/>
                <w:shd w:val="clear" w:color="auto" w:fill="ffffff"/>
                <w:lang w:val="ru-RU" w:bidi="ar-SA"/>
              </w:rPr>
            </w:pPr>
            <w:r>
              <w:rPr>
                <w:b w:val="0"/>
                <w:bCs w:val="0"/>
                <w:sz w:val="21"/>
                <w:szCs w:val="21"/>
                <w:shd w:val="clear" w:color="auto" w:fill="ffffff"/>
                <w:lang w:val="ru-RU" w:bidi="ar-SA"/>
              </w:rPr>
            </w:r>
            <w:r>
              <w:rPr>
                <w:b w:val="0"/>
                <w:bCs w:val="0"/>
                <w:sz w:val="21"/>
                <w:szCs w:val="21"/>
                <w:highlight w:val="none"/>
                <w:shd w:val="clear" w:color="auto" w:fill="ffffff"/>
                <w:lang w:val="ru-RU" w:bidi="ar-SA"/>
              </w:rPr>
            </w:r>
            <w:r>
              <w:rPr>
                <w:b w:val="0"/>
                <w:bCs w:val="0"/>
                <w:sz w:val="21"/>
                <w:szCs w:val="21"/>
                <w:highlight w:val="none"/>
                <w:shd w:val="clear" w:color="auto" w:fill="ffffff"/>
                <w:lang w:val="ru-RU" w:bidi="ar-SA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6408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clear" w:pos="708" w:leader="none"/>
                <w:tab w:val="left" w:pos="709" w:leader="none"/>
                <w:tab w:val="left" w:pos="1418" w:leader="none"/>
              </w:tabs>
            </w:pPr>
            <w:r>
              <w:rPr>
                <w:sz w:val="21"/>
                <w:szCs w:val="21"/>
                <w:shd w:val="clear" w:color="auto" w:fill="ffffff"/>
                <w:lang w:val="ru-RU" w:bidi="ar-SA"/>
              </w:rPr>
              <w:t xml:space="preserve">Услуги должны быть оказаны в полном соответствии с требованиями государственных стандартов, действующих строительных норм и правил, ПУЭ, НПБ, технических регламентов, санитарных норм и правил.</w:t>
            </w:r>
            <w:r/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i/>
                <w:sz w:val="21"/>
                <w:szCs w:val="21"/>
                <w:lang w:val="ru-RU" w:bidi="ar-SA"/>
              </w:rPr>
              <w:t xml:space="preserve">Согласие с требованием</w:t>
            </w:r>
            <w:r/>
          </w:p>
          <w:p>
            <w:pPr>
              <w:pStyle w:val="774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</w:r>
            <w:r>
              <w:rPr>
                <w:b/>
                <w:bCs/>
                <w:sz w:val="21"/>
                <w:szCs w:val="21"/>
              </w:rPr>
            </w:r>
            <w:r>
              <w:rPr>
                <w:b/>
                <w:bCs/>
                <w:sz w:val="21"/>
                <w:szCs w:val="21"/>
              </w:rPr>
            </w:r>
          </w:p>
        </w:tc>
        <w:tc>
          <w:tcPr>
            <w:tcBorders>
              <w:top w:val="none" w:color="000000" w:sz="4" w:space="0"/>
            </w:tcBorders>
            <w:tcW w:w="2208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3"/>
              <w:numPr>
                <w:ilvl w:val="0"/>
                <w:numId w:val="0"/>
              </w:numPr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Calibri" w:hAnsi="Calibri" w:eastAsia="Times New Roman" w:cs="Arial"/>
                <w:b w:val="0"/>
                <w:bCs/>
                <w:sz w:val="24"/>
                <w:szCs w:val="24"/>
                <w:lang w:val="ru-RU" w:eastAsia="ru-RU" w:bidi="ar-SA"/>
              </w:rPr>
              <w:outlineLvl w:val="2"/>
            </w:pPr>
            <w:r>
              <w:rPr>
                <w:rFonts w:ascii="Calibri" w:hAnsi="Calibri" w:eastAsia="Times New Roman" w:cs="Arial"/>
                <w:b w:val="0"/>
                <w:bCs/>
                <w:sz w:val="24"/>
                <w:szCs w:val="24"/>
                <w:lang w:val="ru-RU" w:eastAsia="ru-RU" w:bidi="ar-SA"/>
              </w:rPr>
            </w:r>
            <w:r>
              <w:rPr>
                <w:rFonts w:ascii="Calibri" w:hAnsi="Calibri" w:eastAsia="Times New Roman" w:cs="Arial"/>
                <w:b w:val="0"/>
                <w:bCs/>
                <w:sz w:val="24"/>
                <w:szCs w:val="24"/>
                <w:lang w:val="ru-RU" w:eastAsia="ru-RU" w:bidi="ar-SA"/>
              </w:rPr>
            </w:r>
            <w:r>
              <w:rPr>
                <w:rFonts w:ascii="Calibri" w:hAnsi="Calibri" w:eastAsia="Times New Roman" w:cs="Arial"/>
                <w:b w:val="0"/>
                <w:bCs/>
                <w:sz w:val="24"/>
                <w:szCs w:val="24"/>
                <w:lang w:val="ru-RU" w:eastAsia="ru-RU" w:bidi="ar-SA"/>
              </w:rPr>
            </w:r>
          </w:p>
        </w:tc>
      </w:tr>
      <w:tr>
        <w:tblPrEx/>
        <w:trPr>
          <w:cantSplit/>
          <w:trHeight w:val="396"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7" w:type="dxa"/>
            <w:vAlign w:val="center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none" w:color="000000" w:sz="4" w:space="0"/>
              <w:right w:val="none" w:color="000000" w:sz="4" w:space="0"/>
            </w:tcBorders>
            <w:tcW w:w="8436" w:type="dxa"/>
            <w:vAlign w:val="center"/>
            <w:textDirection w:val="lrTb"/>
            <w:noWrap w:val="false"/>
          </w:tcPr>
          <w:p>
            <w:pPr>
              <w:pStyle w:val="774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b/>
                <w:sz w:val="24"/>
                <w:szCs w:val="24"/>
                <w:shd w:val="clear" w:color="auto" w:fill="ffffff"/>
                <w:lang w:val="ru-RU" w:bidi="ar-SA"/>
              </w:rPr>
              <w:t xml:space="preserve">Требования к персоналу</w:t>
            </w:r>
            <w:r/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b/>
                <w:sz w:val="24"/>
                <w:szCs w:val="24"/>
                <w:lang w:val="ru-RU" w:bidi="ar-SA"/>
              </w:rPr>
              <w:t xml:space="preserve">-//-</w:t>
            </w:r>
            <w:r/>
          </w:p>
        </w:tc>
        <w:tc>
          <w:tcPr>
            <w:tcBorders>
              <w:top w:val="none" w:color="000000" w:sz="4" w:space="0"/>
            </w:tcBorders>
            <w:tcW w:w="2208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b/>
                <w:sz w:val="24"/>
                <w:szCs w:val="24"/>
                <w:lang w:val="ru-RU" w:bidi="ar-SA"/>
              </w:rPr>
              <w:t xml:space="preserve">-//-</w:t>
            </w:r>
            <w:r/>
          </w:p>
        </w:tc>
      </w:tr>
      <w:tr>
        <w:tblPrEx/>
        <w:trPr>
          <w:cantSplit/>
          <w:trHeight w:val="396"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7" w:type="dxa"/>
            <w:vAlign w:val="center"/>
            <w:textDirection w:val="lrTb"/>
            <w:noWrap w:val="false"/>
          </w:tcPr>
          <w:p>
            <w:pPr>
              <w:pStyle w:val="861"/>
              <w:numPr>
                <w:ilvl w:val="2"/>
                <w:numId w:val="6"/>
              </w:numPr>
              <w:contextualSpacing w:val="0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1999" w:type="dxa"/>
            <w:vAlign w:val="center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sz w:val="21"/>
                <w:szCs w:val="21"/>
                <w:shd w:val="clear" w:color="auto" w:fill="ffffff"/>
                <w:lang w:val="ru-RU" w:bidi="ar-SA"/>
              </w:rPr>
              <w:t xml:space="preserve">Квалификация персонала подрядчика, привлекаемого к оказанию услуг</w:t>
            </w:r>
            <w:r/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6437" w:type="dxa"/>
            <w:vAlign w:val="center"/>
            <w:textDirection w:val="lrTb"/>
            <w:noWrap w:val="false"/>
          </w:tcPr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sz w:val="21"/>
                <w:szCs w:val="21"/>
                <w:shd w:val="clear" w:color="auto" w:fill="ffffff"/>
                <w:lang w:val="ru-RU" w:bidi="ar-SA"/>
              </w:rPr>
              <w:t xml:space="preserve">При оказании услуг Исполнитель обязан иметь:</w:t>
            </w:r>
            <w:r/>
          </w:p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sz w:val="21"/>
                <w:szCs w:val="21"/>
                <w:shd w:val="clear" w:color="auto" w:fill="ffffff"/>
                <w:lang w:val="ru-RU" w:bidi="ar-SA"/>
              </w:rPr>
              <w:t xml:space="preserve">- аттестованных по электробезопасности  специалистов  в соответствии с правилами по охране труда при эксплуатации электроустановок. Персонал должен иметь группу по ЭБ для работ в электроустановках свыше 1000 В (ответственный руководитель работ не ниже </w:t>
            </w:r>
            <w:r>
              <w:rPr>
                <w:sz w:val="21"/>
                <w:szCs w:val="21"/>
                <w:shd w:val="clear" w:color="auto" w:fill="ffffff"/>
                <w:lang w:val="en-US" w:bidi="ar-SA"/>
              </w:rPr>
              <w:t xml:space="preserve">V</w:t>
            </w:r>
            <w:r>
              <w:rPr>
                <w:sz w:val="21"/>
                <w:szCs w:val="21"/>
                <w:shd w:val="clear" w:color="auto" w:fill="ffffff"/>
                <w:lang w:val="ru-RU" w:bidi="ar-SA"/>
              </w:rPr>
              <w:t xml:space="preserve"> гр., производитель работ не ниже </w:t>
            </w:r>
            <w:r>
              <w:rPr>
                <w:sz w:val="21"/>
                <w:szCs w:val="21"/>
                <w:shd w:val="clear" w:color="auto" w:fill="ffffff"/>
                <w:lang w:val="en-US" w:bidi="ar-SA"/>
              </w:rPr>
              <w:t xml:space="preserve">IV</w:t>
            </w:r>
            <w:r>
              <w:rPr>
                <w:sz w:val="21"/>
                <w:szCs w:val="21"/>
                <w:shd w:val="clear" w:color="auto" w:fill="ffffff"/>
                <w:lang w:val="ru-RU" w:bidi="ar-SA"/>
              </w:rPr>
              <w:t xml:space="preserve"> гр., члены бригады не ниже </w:t>
            </w:r>
            <w:r>
              <w:rPr>
                <w:sz w:val="21"/>
                <w:szCs w:val="21"/>
                <w:shd w:val="clear" w:color="auto" w:fill="ffffff"/>
                <w:lang w:val="en-US" w:bidi="ar-SA"/>
              </w:rPr>
              <w:t xml:space="preserve">III</w:t>
            </w:r>
            <w:r>
              <w:rPr>
                <w:sz w:val="21"/>
                <w:szCs w:val="21"/>
                <w:shd w:val="clear" w:color="auto" w:fill="ffffff"/>
                <w:lang w:val="ru-RU" w:bidi="ar-SA"/>
              </w:rPr>
              <w:t xml:space="preserve"> гр.),</w:t>
            </w:r>
            <w:r>
              <w:rPr>
                <w:sz w:val="21"/>
                <w:szCs w:val="21"/>
                <w:shd w:val="clear" w:color="auto" w:fill="ffffff"/>
                <w:lang w:bidi="ar-SA"/>
              </w:rPr>
              <w:t xml:space="preserve"> иметь необходимое медицинское освидетельствование, удостоверения согласно требованиям Правил работы, с персоналом в организациях электроэнергетики РФ.</w:t>
            </w:r>
            <w:r/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i/>
                <w:sz w:val="21"/>
                <w:szCs w:val="21"/>
                <w:lang w:val="ru-RU" w:bidi="ar-SA"/>
              </w:rPr>
              <w:t xml:space="preserve">Согласие с требованием</w:t>
            </w:r>
            <w:r/>
          </w:p>
          <w:p>
            <w:pPr>
              <w:pStyle w:val="774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none" w:color="000000" w:sz="4" w:space="0"/>
            </w:tcBorders>
            <w:tcW w:w="2208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2731"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7" w:type="dxa"/>
            <w:vAlign w:val="center"/>
            <w:textDirection w:val="lrTb"/>
            <w:noWrap w:val="false"/>
          </w:tcPr>
          <w:p>
            <w:pPr>
              <w:pStyle w:val="861"/>
              <w:numPr>
                <w:ilvl w:val="2"/>
                <w:numId w:val="6"/>
              </w:numPr>
              <w:contextualSpacing w:val="0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1999" w:type="dxa"/>
            <w:vAlign w:val="center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Требования к участникам закупки</w: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6437" w:type="dxa"/>
            <w:vAlign w:val="center"/>
            <w:textDirection w:val="lrTb"/>
            <w:noWrap w:val="false"/>
          </w:tcPr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Участник должен иметь:</w: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</w:p>
          <w:p>
            <w:pPr>
              <w:pStyle w:val="774"/>
              <w:ind w:left="0" w:right="0" w:firstLine="0"/>
              <w:jc w:val="both"/>
              <w:spacing w:before="0" w:after="0" w:line="240" w:lineRule="auto"/>
              <w:widowControl w:val="off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-д</w:t>
            </w:r>
            <w:r>
              <w:rPr>
                <w:sz w:val="21"/>
                <w:szCs w:val="21"/>
              </w:rPr>
              <w:t xml:space="preserve">ействующее свидетельство о регистрации электротехнической лаборатории в области технической диагностики и испытаний электрооборудования высокого напряжения, либо привлечь к оказанию услуг аттестованные лаборатории других организаций на условиях субподряда.</w: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</w:p>
          <w:p>
            <w:pPr>
              <w:pStyle w:val="774"/>
              <w:ind w:left="0" w:right="0" w:firstLine="0"/>
              <w:jc w:val="both"/>
              <w:spacing w:before="0" w:after="0" w:line="240" w:lineRule="auto"/>
              <w:widowControl w:val="off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Перечень разрешенных видов испытаний должен включать в себя проводимый комплекс диагностических работ.</w: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</w:p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sz w:val="21"/>
                <w:szCs w:val="21"/>
              </w:rPr>
            </w:pPr>
            <w:r>
              <w:rPr>
                <w:rFonts w:eastAsia="Calibri" w:eastAsiaTheme="minorHAnsi"/>
                <w:b w:val="0"/>
                <w:bCs w:val="0"/>
                <w:i w:val="0"/>
                <w:caps w:val="0"/>
                <w:smallCaps w:val="0"/>
                <w:color w:val="111111"/>
                <w:spacing w:val="0"/>
                <w:sz w:val="21"/>
                <w:szCs w:val="21"/>
                <w:shd w:val="clear" w:color="auto" w:fill="ffffff"/>
                <w:lang w:val="ru-RU" w:eastAsia="en-US" w:bidi="ar-SA"/>
              </w:rPr>
              <w:t xml:space="preserve">З</w:t>
            </w:r>
            <w:r>
              <w:rPr>
                <w:b w:val="0"/>
                <w:bCs w:val="0"/>
                <w:i w:val="0"/>
                <w:caps w:val="0"/>
                <w:smallCaps w:val="0"/>
                <w:color w:val="111111"/>
                <w:spacing w:val="0"/>
                <w:sz w:val="21"/>
                <w:szCs w:val="21"/>
                <w:shd w:val="clear" w:color="auto" w:fill="ffffff"/>
                <w:lang w:val="ru-RU" w:bidi="ar-SA"/>
              </w:rPr>
              <w:t xml:space="preserve">аказчик не располагает высоковольтной установкой. Подачу высокого  напряжения выполняет </w:t>
            </w:r>
            <w:r>
              <w:rPr>
                <w:b w:val="0"/>
                <w:bCs w:val="0"/>
                <w:i w:val="0"/>
                <w:caps w:val="0"/>
                <w:smallCaps w:val="0"/>
                <w:color w:val="111111"/>
                <w:spacing w:val="0"/>
                <w:sz w:val="21"/>
                <w:szCs w:val="21"/>
                <w:shd w:val="clear" w:color="auto" w:fill="ffffff"/>
                <w:lang w:val="ru-RU" w:bidi="ar-SA"/>
              </w:rPr>
              <w:t xml:space="preserve">И</w:t>
            </w:r>
            <w:r>
              <w:rPr>
                <w:b w:val="0"/>
                <w:bCs w:val="0"/>
                <w:i w:val="0"/>
                <w:caps w:val="0"/>
                <w:smallCaps w:val="0"/>
                <w:color w:val="111111"/>
                <w:spacing w:val="0"/>
                <w:sz w:val="21"/>
                <w:szCs w:val="21"/>
                <w:shd w:val="clear" w:color="auto" w:fill="ffffff"/>
                <w:lang w:val="ru-RU" w:bidi="ar-SA"/>
              </w:rPr>
              <w:t xml:space="preserve">сполнитель.</w: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i/>
                <w:sz w:val="21"/>
                <w:szCs w:val="21"/>
                <w:lang w:val="ru-RU" w:bidi="ar-SA"/>
              </w:rPr>
              <w:t xml:space="preserve">Согласие с требованием</w:t>
            </w:r>
            <w:r/>
          </w:p>
        </w:tc>
        <w:tc>
          <w:tcPr>
            <w:tcBorders>
              <w:top w:val="none" w:color="000000" w:sz="4" w:space="0"/>
            </w:tcBorders>
            <w:tcW w:w="2208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  <w:trHeight w:val="518"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7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sz w:val="24"/>
                <w:szCs w:val="24"/>
                <w:lang w:val="ru-RU" w:bidi="ar-SA"/>
              </w:rPr>
              <w:t xml:space="preserve">1.2.</w:t>
            </w:r>
            <w:r/>
          </w:p>
        </w:tc>
        <w:tc>
          <w:tcPr>
            <w:gridSpan w:val="6"/>
            <w:tcBorders>
              <w:top w:val="none" w:color="000000" w:sz="4" w:space="0"/>
            </w:tcBorders>
            <w:tcW w:w="13903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b/>
                <w:bCs/>
                <w:sz w:val="24"/>
                <w:szCs w:val="24"/>
                <w:shd w:val="clear" w:color="auto" w:fill="ffffff"/>
                <w:lang w:val="ru-RU" w:bidi="ar-SA"/>
              </w:rPr>
              <w:t xml:space="preserve">Требования к безопасности работ и охране труда</w:t>
            </w:r>
            <w:r/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7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sz w:val="24"/>
                <w:szCs w:val="24"/>
                <w:lang w:val="ru-RU" w:bidi="ar-SA"/>
              </w:rPr>
              <w:t xml:space="preserve">1.2.1</w:t>
            </w:r>
            <w:r/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1999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tabs>
                <w:tab w:val="left" w:pos="283" w:leader="none"/>
                <w:tab w:val="clear" w:pos="708" w:leader="none"/>
              </w:tabs>
            </w:pPr>
            <w:r>
              <w:rPr>
                <w:sz w:val="21"/>
                <w:szCs w:val="21"/>
                <w:shd w:val="clear" w:color="auto" w:fill="ffffff"/>
                <w:lang w:val="ru-RU" w:bidi="ar-SA"/>
              </w:rPr>
              <w:t xml:space="preserve">Требования к безопасности оказываемых услуг</w:t>
            </w:r>
            <w:r/>
          </w:p>
          <w:p>
            <w:pPr>
              <w:pStyle w:val="774"/>
              <w:numPr>
                <w:ilvl w:val="0"/>
                <w:numId w:val="0"/>
              </w:numPr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sz w:val="21"/>
                <w:szCs w:val="21"/>
                <w:highlight w:val="none"/>
                <w:shd w:val="clear" w:color="auto" w:fill="ffffff"/>
                <w:lang w:val="ru-RU" w:bidi="ar-SA"/>
              </w:rPr>
              <w:outlineLvl w:val="2"/>
            </w:pPr>
            <w:r>
              <w:rPr>
                <w:sz w:val="21"/>
                <w:szCs w:val="21"/>
                <w:shd w:val="clear" w:color="auto" w:fill="ffffff"/>
                <w:lang w:val="ru-RU" w:bidi="ar-SA"/>
              </w:rPr>
            </w:r>
            <w:r>
              <w:rPr>
                <w:sz w:val="21"/>
                <w:szCs w:val="21"/>
                <w:highlight w:val="none"/>
                <w:shd w:val="clear" w:color="auto" w:fill="ffffff"/>
                <w:lang w:val="ru-RU" w:bidi="ar-SA"/>
              </w:rPr>
            </w:r>
            <w:r>
              <w:rPr>
                <w:sz w:val="21"/>
                <w:szCs w:val="21"/>
                <w:highlight w:val="none"/>
                <w:shd w:val="clear" w:color="auto" w:fill="ffffff"/>
                <w:lang w:val="ru-RU" w:bidi="ar-SA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6437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bCs/>
                <w:sz w:val="21"/>
                <w:szCs w:val="21"/>
                <w:shd w:val="clear" w:color="auto" w:fill="ffffff"/>
                <w:lang w:val="ru-RU" w:bidi="ar-SA"/>
              </w:rPr>
              <w:t xml:space="preserve">До начала оказания услуг Исполнитель предоста</w:t>
            </w:r>
            <w:r>
              <w:rPr>
                <w:bCs/>
                <w:sz w:val="21"/>
                <w:szCs w:val="21"/>
                <w:shd w:val="clear" w:color="auto" w:fill="ffffff"/>
                <w:lang w:val="ru-RU" w:bidi="ar-SA"/>
              </w:rPr>
              <w:t xml:space="preserve">вляет Заказчику «Перечень лиц, имеющих право быть руководителями, производителями и членами бригады», а также «Перечень лиц, имеющих право подписывать акт допуск и выдавать наряды на производство работ повышенной опасности». Указанный персонал должен быть </w:t>
            </w:r>
            <w:r>
              <w:rPr>
                <w:bCs/>
                <w:sz w:val="21"/>
                <w:szCs w:val="21"/>
                <w:shd w:val="clear" w:color="auto" w:fill="ffffff"/>
                <w:lang w:val="ru-RU" w:bidi="ar-SA"/>
              </w:rPr>
              <w:t xml:space="preserve">аттестован по охране труда в установленном порядке и иметь при себе удостоверения установленного образца. Выполнение на объекте необходимых противопожарных мероприятий, мероприятий по технике безопасности и охране окружающей среды во время оказания услуг, </w:t>
            </w:r>
            <w:r>
              <w:rPr>
                <w:sz w:val="21"/>
                <w:szCs w:val="21"/>
                <w:shd w:val="clear" w:color="auto" w:fill="ffffff"/>
                <w:lang w:val="ru-RU" w:bidi="ar-SA"/>
              </w:rPr>
              <w:t xml:space="preserve">соблюдать требования правил внутреннего распорядка, пропускного и внутри объектного режима.</w:t>
            </w:r>
            <w:r/>
          </w:p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sz w:val="21"/>
                <w:szCs w:val="21"/>
                <w:shd w:val="clear" w:color="auto" w:fill="ffffff"/>
                <w:lang w:val="ru-RU" w:bidi="ar-SA"/>
              </w:rPr>
              <w:t xml:space="preserve">Пере</w:t>
            </w:r>
            <w:r>
              <w:rPr>
                <w:sz w:val="21"/>
                <w:szCs w:val="21"/>
                <w:shd w:val="clear" w:color="auto" w:fill="ffffff"/>
                <w:lang w:val="ru-RU" w:bidi="ar-SA"/>
              </w:rPr>
              <w:t xml:space="preserve">д  началом оказания услуг  предоставляет  в адрес станции список работников, которые имеют право выдачи нарядов, быть руководителем  и  производителем работ группы  по ЭБ, с указанием фамилии и инициалов, должности, удостоверений   по  специализации работ.</w:t>
            </w:r>
            <w:r/>
          </w:p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sz w:val="21"/>
                <w:szCs w:val="21"/>
                <w:shd w:val="clear" w:color="auto" w:fill="ffffff"/>
                <w:lang w:val="ru-RU" w:bidi="ar-SA"/>
              </w:rPr>
              <w:t xml:space="preserve">Работы производятся только по согласованию цеха эксплуатирующего   данное оборудование.</w:t>
            </w:r>
            <w:r/>
          </w:p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sz w:val="21"/>
                <w:szCs w:val="21"/>
                <w:shd w:val="clear" w:color="auto" w:fill="ffffff"/>
                <w:lang w:val="ru-RU" w:bidi="ar-SA"/>
              </w:rPr>
              <w:t xml:space="preserve">«Исполнитель» обязан ознакомиться с условиями и особенностями энергоо</w:t>
            </w:r>
            <w:r>
              <w:rPr>
                <w:sz w:val="21"/>
                <w:szCs w:val="21"/>
                <w:shd w:val="clear" w:color="auto" w:fill="ffffff"/>
                <w:lang w:val="ru-RU" w:bidi="ar-SA"/>
              </w:rPr>
              <w:t xml:space="preserve">бъекта СП Амурская ТЭЦ-1  и правилами нахождения на его территории до подписания договора. «Исполнитель»  должен хорошо изучить условия, при которых предстоит выполнить весь объем услуг и факторы, которые могут отрицательно повлиять на выполнение договора.</w:t>
            </w:r>
            <w:r>
              <w:rPr>
                <w:sz w:val="21"/>
                <w:szCs w:val="21"/>
                <w:highlight w:val="none"/>
                <w:shd w:val="clear" w:color="auto" w:fill="ffffff"/>
                <w:lang w:val="ru-RU" w:bidi="ar-SA"/>
              </w:rPr>
            </w:r>
            <w:r/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i/>
                <w:sz w:val="21"/>
                <w:szCs w:val="21"/>
                <w:highlight w:val="white"/>
                <w:lang w:val="ru-RU" w:bidi="ar-SA"/>
              </w:rPr>
              <w:t xml:space="preserve">Согласие с требованием</w:t>
            </w:r>
            <w:r/>
          </w:p>
        </w:tc>
        <w:tc>
          <w:tcPr>
            <w:tcBorders>
              <w:top w:val="none" w:color="000000" w:sz="4" w:space="0"/>
            </w:tcBorders>
            <w:tcW w:w="2208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sz w:val="24"/>
                <w:szCs w:val="24"/>
                <w:highlight w:val="white"/>
                <w:lang w:val="ru-RU" w:bidi="ar-SA"/>
              </w:rPr>
              <w:t xml:space="preserve">-</w:t>
            </w:r>
            <w:r/>
          </w:p>
        </w:tc>
      </w:tr>
      <w:tr>
        <w:tblPrEx/>
        <w:trPr>
          <w:cantSplit/>
          <w:trHeight w:val="990"/>
        </w:trPr>
        <w:tc>
          <w:tcPr>
            <w:gridSpan w:val="3"/>
            <w:tcBorders>
              <w:top w:val="none" w:color="000000" w:sz="4" w:space="0"/>
              <w:right w:val="none" w:color="000000" w:sz="4" w:space="0"/>
            </w:tcBorders>
            <w:tcW w:w="780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sz w:val="24"/>
                <w:szCs w:val="24"/>
                <w:lang w:val="ru-RU" w:bidi="ar-SA"/>
              </w:rPr>
              <w:t xml:space="preserve">1.2.2</w:t>
            </w:r>
            <w:r/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1996" w:type="dxa"/>
            <w:textDirection w:val="lrTb"/>
            <w:noWrap w:val="false"/>
          </w:tcPr>
          <w:p>
            <w:pPr>
              <w:pStyle w:val="774"/>
              <w:numPr>
                <w:ilvl w:val="0"/>
                <w:numId w:val="0"/>
              </w:numPr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outlineLvl w:val="2"/>
            </w:pPr>
            <w:r>
              <w:rPr>
                <w:rFonts w:eastAsia="Calibri"/>
                <w:sz w:val="21"/>
                <w:szCs w:val="21"/>
                <w:shd w:val="clear" w:color="auto" w:fill="ffffff"/>
                <w:lang w:val="ru-RU" w:bidi="ar-SA"/>
              </w:rPr>
              <w:t xml:space="preserve">Соблюдение требований пожарной безопасности</w:t>
            </w:r>
            <w:r/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6437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567" w:leader="none"/>
                <w:tab w:val="clear" w:pos="708" w:leader="none"/>
              </w:tabs>
            </w:pPr>
            <w:r>
              <w:rPr>
                <w:iCs/>
                <w:sz w:val="21"/>
                <w:szCs w:val="21"/>
                <w:shd w:val="clear" w:color="auto" w:fill="ffffff"/>
                <w:lang w:val="ru-RU" w:bidi="ar-SA"/>
              </w:rPr>
              <w:t xml:space="preserve">Меры пожарной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/>
          </w:p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shd w:val="clear" w:color="auto" w:fill="ffffff"/>
              <w:widowControl w:val="off"/>
              <w:tabs>
                <w:tab w:val="left" w:pos="360" w:leader="none"/>
                <w:tab w:val="clear" w:pos="708" w:leader="none"/>
              </w:tabs>
            </w:pPr>
            <w:r>
              <w:rPr>
                <w:sz w:val="21"/>
                <w:szCs w:val="21"/>
                <w:shd w:val="clear" w:color="auto" w:fill="ffffff"/>
                <w:lang w:val="ru-RU" w:bidi="ar-SA"/>
              </w:rPr>
              <w:t xml:space="preserve">- Правилах противопожарного режима в Российской Федерации, утверждены Постановлением Правительства РФ от 16.09.2020 № 1479;</w:t>
            </w:r>
            <w:r/>
          </w:p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shd w:val="clear" w:color="auto" w:fill="ffffff"/>
              <w:widowControl w:val="off"/>
              <w:tabs>
                <w:tab w:val="left" w:pos="360" w:leader="none"/>
                <w:tab w:val="clear" w:pos="708" w:leader="none"/>
              </w:tabs>
            </w:pPr>
            <w:r>
              <w:rPr>
                <w:sz w:val="21"/>
                <w:szCs w:val="21"/>
                <w:shd w:val="clear" w:color="auto" w:fill="ffffff"/>
                <w:lang w:val="ru-RU" w:bidi="ar-SA"/>
              </w:rPr>
              <w:t xml:space="preserve">- №123-ФЗ от 22.07.2008 «Технический регламент о требованиях пожарной безопасности»;</w:t>
            </w:r>
            <w:r/>
          </w:p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sz w:val="21"/>
                <w:szCs w:val="21"/>
                <w:shd w:val="clear" w:color="auto" w:fill="ffffff"/>
                <w:lang w:val="ru-RU" w:bidi="ar-SA"/>
              </w:rPr>
              <w:t xml:space="preserve">- ГОСТ 12.1.004-91* Система стандартов безопасности труда. Пожарная безопасность. Общие требования.</w:t>
            </w:r>
            <w:r/>
          </w:p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iCs/>
                <w:sz w:val="21"/>
                <w:szCs w:val="21"/>
                <w:shd w:val="clear" w:color="auto" w:fill="ffffff"/>
                <w:lang w:val="ru-RU" w:bidi="ar-SA"/>
              </w:rPr>
              <w:t xml:space="preserve">При оказании услуг дополнительно необходимо соблюдать требования объектовых (производственных) инструкций, пожарные и санитарные нормы, правила охраны труда, действующие на предприятии Заказчика.</w:t>
            </w:r>
            <w:r/>
          </w:p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iCs/>
                <w:sz w:val="21"/>
                <w:szCs w:val="21"/>
                <w:shd w:val="clear" w:color="auto" w:fill="ffffff"/>
                <w:lang w:val="ru-RU" w:bidi="ar-SA"/>
              </w:rPr>
              <w:t xml:space="preserve">Приказом по организации должно быть назначено лицо, ответственное за соблюдение требований пожарной безопасности на строительной площадке и в местах производства работ.</w:t>
            </w:r>
            <w:r/>
          </w:p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iCs/>
                <w:sz w:val="21"/>
                <w:szCs w:val="21"/>
                <w:shd w:val="clear" w:color="auto" w:fill="ffffff"/>
                <w:lang w:val="ru-RU" w:bidi="ar-SA"/>
              </w:rPr>
              <w:t xml:space="preserve">Персональную ответственность за обеспечение пожарной безопасности несёт руководитель подрядной организации или лицо, его замещающее.</w:t>
            </w:r>
            <w:r/>
          </w:p>
          <w:p>
            <w:pPr>
              <w:pStyle w:val="861"/>
              <w:contextualSpacing w:val="0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i/>
                <w:sz w:val="21"/>
                <w:szCs w:val="21"/>
                <w:shd w:val="clear" w:color="auto" w:fill="ffffff"/>
                <w:lang w:val="ru-RU" w:bidi="ar-SA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развитие.</w:t>
            </w:r>
            <w:r/>
          </w:p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sz w:val="21"/>
                <w:szCs w:val="21"/>
                <w:highlight w:val="none"/>
                <w:shd w:val="clear" w:color="auto" w:fill="ffffff"/>
                <w:lang w:val="ru-RU" w:bidi="ar-SA"/>
              </w:rPr>
            </w:pPr>
            <w:r>
              <w:rPr>
                <w:sz w:val="21"/>
                <w:szCs w:val="21"/>
                <w:shd w:val="clear" w:color="auto" w:fill="ffffff"/>
                <w:lang w:val="ru-RU" w:bidi="ar-SA"/>
              </w:rPr>
            </w:r>
            <w:r>
              <w:rPr>
                <w:sz w:val="21"/>
                <w:szCs w:val="21"/>
                <w:highlight w:val="none"/>
                <w:shd w:val="clear" w:color="auto" w:fill="ffffff"/>
                <w:lang w:val="ru-RU" w:bidi="ar-SA"/>
              </w:rPr>
            </w:r>
            <w:r>
              <w:rPr>
                <w:sz w:val="21"/>
                <w:szCs w:val="21"/>
                <w:highlight w:val="none"/>
                <w:shd w:val="clear" w:color="auto" w:fill="ffffff"/>
                <w:lang w:val="ru-RU" w:bidi="ar-SA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i/>
                <w:sz w:val="21"/>
                <w:szCs w:val="21"/>
                <w:highlight w:val="white"/>
                <w:lang w:val="ru-RU" w:bidi="ar-SA"/>
              </w:rPr>
              <w:t xml:space="preserve">Согласие с требованием</w:t>
            </w:r>
            <w:r/>
          </w:p>
        </w:tc>
        <w:tc>
          <w:tcPr>
            <w:tcBorders>
              <w:top w:val="none" w:color="000000" w:sz="4" w:space="0"/>
            </w:tcBorders>
            <w:tcW w:w="2208" w:type="dxa"/>
            <w:textDirection w:val="lrTb"/>
            <w:noWrap w:val="false"/>
          </w:tcPr>
          <w:p>
            <w:pPr>
              <w:pStyle w:val="774"/>
              <w:ind w:left="0" w:right="0" w:firstLine="0"/>
              <w:keepLines w:val="0"/>
              <w:keepNext w:val="0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gridSpan w:val="3"/>
            <w:tcBorders>
              <w:top w:val="none" w:color="000000" w:sz="4" w:space="0"/>
              <w:right w:val="none" w:color="000000" w:sz="4" w:space="0"/>
            </w:tcBorders>
            <w:tcW w:w="780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sz w:val="24"/>
                <w:szCs w:val="24"/>
                <w:lang w:val="ru-RU" w:bidi="ar-SA"/>
              </w:rPr>
              <w:t xml:space="preserve">1.2.3.</w:t>
            </w:r>
            <w:r/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1996" w:type="dxa"/>
            <w:textDirection w:val="lrTb"/>
            <w:noWrap w:val="false"/>
          </w:tcPr>
          <w:p>
            <w:pPr>
              <w:pStyle w:val="774"/>
              <w:numPr>
                <w:ilvl w:val="0"/>
                <w:numId w:val="0"/>
              </w:numPr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outlineLvl w:val="2"/>
            </w:pPr>
            <w:r>
              <w:rPr>
                <w:rFonts w:eastAsia="Calibri"/>
                <w:sz w:val="21"/>
                <w:szCs w:val="21"/>
                <w:shd w:val="clear" w:color="auto" w:fill="ffffff"/>
                <w:lang w:val="ru-RU" w:bidi="ar-SA"/>
              </w:rPr>
              <w:t xml:space="preserve">Соблюдение требований к охране окружающей среды</w:t>
            </w:r>
            <w:r/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6437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iCs/>
                <w:sz w:val="21"/>
                <w:szCs w:val="21"/>
                <w:shd w:val="clear" w:color="auto" w:fill="ffffff"/>
                <w:lang w:val="ru-RU" w:bidi="ar-SA"/>
              </w:rPr>
              <w:t xml:space="preserve">При выполнении всех услуг необходимо строго соблюдать требования защиты окружающей среды, сохранения её устойчивого равновесия и не нарушать условия землепользования, установленные законодательством об охране природы.</w:t>
            </w:r>
            <w:r/>
          </w:p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iCs/>
                <w:sz w:val="21"/>
                <w:szCs w:val="21"/>
                <w:shd w:val="clear" w:color="auto" w:fill="ffffff"/>
                <w:lang w:val="ru-RU" w:bidi="ar-SA"/>
              </w:rPr>
              <w:t xml:space="preserve">Отходы, строительный мусор должны своевременно вывозиться для дальнейшей утилизации.</w:t>
            </w:r>
            <w:r/>
          </w:p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iCs/>
                <w:sz w:val="21"/>
                <w:szCs w:val="21"/>
                <w:shd w:val="clear" w:color="auto" w:fill="ffffff"/>
                <w:lang w:val="ru-RU" w:bidi="ar-SA"/>
              </w:rPr>
              <w:t xml:space="preserve">Мероприятия и работы по охране окружающей среды вести в соответствии:</w:t>
            </w:r>
            <w:r/>
          </w:p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iCs/>
                <w:sz w:val="21"/>
                <w:szCs w:val="21"/>
                <w:shd w:val="clear" w:color="auto" w:fill="ffffff"/>
                <w:lang w:val="ru-RU" w:bidi="ar-SA"/>
              </w:rPr>
              <w:t xml:space="preserve">- Федеральный закон от 10.01.2002 № 7-ФЗ «Об охране окружающей среды» (ред. от 02.07.21);</w:t>
            </w:r>
            <w:r/>
          </w:p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iCs/>
                <w:sz w:val="21"/>
                <w:szCs w:val="21"/>
                <w:shd w:val="clear" w:color="auto" w:fill="ffffff"/>
                <w:lang w:val="ru-RU" w:bidi="ar-SA"/>
              </w:rPr>
              <w:t xml:space="preserve">- Федеральный закон от 04.05.1999 № 96-ФЗ «Об охране атмосферного воздуха» (ред. от 11.06.2021);</w:t>
            </w:r>
            <w:r/>
          </w:p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iCs/>
                <w:sz w:val="21"/>
                <w:szCs w:val="21"/>
                <w:shd w:val="clear" w:color="auto" w:fill="ffffff"/>
                <w:lang w:val="ru-RU" w:bidi="ar-SA"/>
              </w:rPr>
              <w:t xml:space="preserve">- Водный кодекс Российской Федерации;</w:t>
            </w:r>
            <w:r/>
          </w:p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iCs/>
                <w:sz w:val="21"/>
                <w:szCs w:val="21"/>
                <w:shd w:val="clear" w:color="auto" w:fill="ffffff"/>
                <w:lang w:val="ru-RU" w:bidi="ar-SA"/>
              </w:rPr>
              <w:t xml:space="preserve">-СП 34.13330.2012 «Автомобильные дороги. Актуализированная редакция СНиП 2.05.02-85*»;</w:t>
            </w:r>
            <w:r/>
          </w:p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iCs/>
                <w:sz w:val="21"/>
                <w:szCs w:val="21"/>
                <w:shd w:val="clear" w:color="auto" w:fill="ffffff"/>
                <w:lang w:val="ru-RU" w:bidi="ar-SA"/>
              </w:rPr>
              <w:t xml:space="preserve">-ОДН 218.5.016-2002 «Показатели и нормы экологической безопасности автомобильной дороги» - Распоряжение Минтранс РФ от 25.12.2020 №ИС-1147-р.</w:t>
            </w:r>
            <w:r/>
          </w:p>
          <w:p>
            <w:pPr>
              <w:pStyle w:val="861"/>
              <w:contextualSpacing w:val="0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i/>
                <w:sz w:val="21"/>
                <w:szCs w:val="21"/>
                <w:shd w:val="clear" w:color="auto" w:fill="ffffff"/>
                <w:lang w:val="ru-RU" w:bidi="ar-SA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 </w:t>
            </w:r>
            <w:r>
              <w:rPr>
                <w:i/>
                <w:iCs/>
                <w:sz w:val="21"/>
                <w:szCs w:val="21"/>
                <w:shd w:val="clear" w:color="auto" w:fill="ffffff"/>
                <w:lang w:val="ru-RU" w:bidi="ar-SA"/>
              </w:rPr>
              <w:t xml:space="preserve">.</w:t>
            </w:r>
            <w:r>
              <w:rPr>
                <w:sz w:val="21"/>
                <w:szCs w:val="21"/>
                <w:highlight w:val="none"/>
                <w:shd w:val="clear" w:color="auto" w:fill="ffffff"/>
                <w:lang w:val="ru-RU" w:bidi="ar-SA"/>
              </w:rPr>
            </w:r>
            <w:r/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i/>
                <w:iCs/>
                <w:sz w:val="21"/>
                <w:szCs w:val="21"/>
                <w:highlight w:val="white"/>
                <w:lang w:val="ru-RU" w:bidi="ar-SA"/>
              </w:rPr>
              <w:t xml:space="preserve">Согласие с требованием</w:t>
            </w:r>
            <w:r/>
          </w:p>
        </w:tc>
        <w:tc>
          <w:tcPr>
            <w:tcBorders>
              <w:top w:val="none" w:color="000000" w:sz="4" w:space="0"/>
            </w:tcBorders>
            <w:tcW w:w="2208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gridSpan w:val="3"/>
            <w:tcBorders>
              <w:top w:val="none" w:color="000000" w:sz="4" w:space="0"/>
              <w:right w:val="none" w:color="000000" w:sz="4" w:space="0"/>
            </w:tcBorders>
            <w:tcW w:w="780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sz w:val="24"/>
                <w:szCs w:val="24"/>
                <w:lang w:val="ru-RU" w:bidi="ar-SA"/>
              </w:rPr>
              <w:t xml:space="preserve">1.2.4.</w:t>
            </w:r>
            <w:r/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1996" w:type="dxa"/>
            <w:textDirection w:val="lrTb"/>
            <w:noWrap w:val="false"/>
          </w:tcPr>
          <w:p>
            <w:pPr>
              <w:pStyle w:val="774"/>
              <w:numPr>
                <w:ilvl w:val="0"/>
                <w:numId w:val="0"/>
              </w:numPr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outlineLvl w:val="2"/>
            </w:pPr>
            <w:r>
              <w:rPr>
                <w:rFonts w:eastAsia="Calibri"/>
                <w:sz w:val="21"/>
                <w:szCs w:val="21"/>
                <w:shd w:val="clear" w:color="auto" w:fill="ffffff"/>
                <w:lang w:val="ru-RU" w:bidi="ar-SA"/>
              </w:rPr>
              <w:t xml:space="preserve">Соблюдение требований охраны труда</w:t>
            </w:r>
            <w:r/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6437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iCs/>
                <w:sz w:val="21"/>
                <w:szCs w:val="21"/>
                <w:shd w:val="clear" w:color="auto" w:fill="ffffff"/>
                <w:lang w:val="ru-RU" w:bidi="ar-SA"/>
              </w:rPr>
              <w:t xml:space="preserve">Контроль по соблюдению требований охраны труда осуществляется Подрядчиком и Заказчиком. Заказчик обязуется назначить куратора и обеспечить допуск персонала подрядчика к месту проведения ремонтных работ.</w:t>
            </w:r>
            <w:r/>
          </w:p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iCs/>
                <w:sz w:val="21"/>
                <w:szCs w:val="21"/>
                <w:shd w:val="clear" w:color="auto" w:fill="ffffff"/>
                <w:lang w:val="ru-RU" w:bidi="ar-SA"/>
              </w:rPr>
              <w:t xml:space="preserve"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</w:t>
            </w:r>
            <w:r/>
          </w:p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iCs/>
                <w:sz w:val="21"/>
                <w:szCs w:val="21"/>
                <w:shd w:val="clear" w:color="auto" w:fill="ffffff"/>
                <w:lang w:val="ru-RU" w:bidi="ar-SA"/>
              </w:rPr>
              <w:t xml:space="preserve">Организация ремонтной площадки, участков работ и рабочих мест должна обеспечивать безопасность труда работающих на всех этапах выполнения строительно-монтажных работ. Для производства работ в охранной зоне необходимо получить наряд-допуск.</w:t>
            </w:r>
            <w:r/>
          </w:p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567" w:leader="none"/>
                <w:tab w:val="clear" w:pos="708" w:leader="none"/>
              </w:tabs>
            </w:pPr>
            <w:r>
              <w:rPr>
                <w:iCs/>
                <w:sz w:val="21"/>
                <w:szCs w:val="21"/>
                <w:shd w:val="clear" w:color="auto" w:fill="ffffff"/>
                <w:lang w:val="ru-RU" w:bidi="ar-SA"/>
              </w:rPr>
              <w:t xml:space="preserve">Меры по соблюдению требований охраны труда при оказании услуг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sz w:val="21"/>
                <w:szCs w:val="21"/>
                <w:highlight w:val="none"/>
                <w:shd w:val="clear" w:color="auto" w:fill="ffffff"/>
                <w:lang w:val="ru-RU" w:bidi="ar-SA"/>
              </w:rPr>
            </w:r>
            <w:r/>
          </w:p>
          <w:p>
            <w:pPr>
              <w:pStyle w:val="774"/>
              <w:numPr>
                <w:ilvl w:val="0"/>
                <w:numId w:val="13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567" w:leader="none"/>
                <w:tab w:val="clear" w:pos="708" w:leader="none"/>
              </w:tabs>
            </w:pPr>
            <w:r>
              <w:rPr>
                <w:iCs/>
                <w:sz w:val="21"/>
                <w:szCs w:val="21"/>
                <w:shd w:val="clear" w:color="auto" w:fill="ffffff"/>
                <w:lang w:val="ru-RU" w:bidi="ar-SA"/>
              </w:rPr>
              <w:t xml:space="preserve">Правилах по охране труда при работе на высоте (утверждены приказом Министерства труда от 16.11.2020 №782н);</w:t>
            </w:r>
            <w:r/>
          </w:p>
          <w:p>
            <w:pPr>
              <w:pStyle w:val="774"/>
              <w:numPr>
                <w:ilvl w:val="0"/>
                <w:numId w:val="13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567" w:leader="none"/>
                <w:tab w:val="clear" w:pos="708" w:leader="none"/>
              </w:tabs>
            </w:pPr>
            <w:r>
              <w:rPr>
                <w:iCs/>
                <w:sz w:val="21"/>
                <w:szCs w:val="21"/>
                <w:shd w:val="clear" w:color="auto" w:fill="ffffff"/>
                <w:lang w:val="ru-RU" w:bidi="ar-SA"/>
              </w:rPr>
              <w:t xml:space="preserve">Правилах по охране труда при работе с инструментом и приспособлениями (утверждены приказом Министерства труда от 27.11.2020 № 835н);</w:t>
            </w:r>
            <w:r/>
          </w:p>
          <w:p>
            <w:pPr>
              <w:pStyle w:val="774"/>
              <w:numPr>
                <w:ilvl w:val="0"/>
                <w:numId w:val="13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567" w:leader="none"/>
                <w:tab w:val="clear" w:pos="708" w:leader="none"/>
              </w:tabs>
            </w:pPr>
            <w:r>
              <w:rPr>
                <w:iCs/>
                <w:sz w:val="21"/>
                <w:szCs w:val="21"/>
                <w:shd w:val="clear" w:color="auto" w:fill="ffffff"/>
                <w:lang w:val="ru-RU" w:bidi="ar-SA"/>
              </w:rPr>
              <w:t xml:space="preserve">Правилах по охране труда при размещении, монтаже, техническом обслуживании и ремонте технологического оборудования (утверждены приказом Министерства труда от 27.11.2020 №833н);</w:t>
            </w:r>
            <w:r/>
          </w:p>
          <w:p>
            <w:pPr>
              <w:pStyle w:val="774"/>
              <w:numPr>
                <w:ilvl w:val="0"/>
                <w:numId w:val="13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567" w:leader="none"/>
                <w:tab w:val="clear" w:pos="708" w:leader="none"/>
              </w:tabs>
            </w:pPr>
            <w:r>
              <w:rPr>
                <w:iCs/>
                <w:sz w:val="21"/>
                <w:szCs w:val="21"/>
                <w:shd w:val="clear" w:color="auto" w:fill="ffffff"/>
                <w:lang w:val="ru-RU" w:bidi="ar-SA"/>
              </w:rPr>
              <w:t xml:space="preserve">Правилах по охране труда при эксплуатации электроустановок, утвержденные Приказом Министерства труда и социальной защиты РФ от 15.12.2020 №903н.</w:t>
            </w:r>
            <w:r/>
          </w:p>
          <w:p>
            <w:pPr>
              <w:pStyle w:val="774"/>
              <w:numPr>
                <w:ilvl w:val="0"/>
                <w:numId w:val="13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13" w:leader="none"/>
                <w:tab w:val="left" w:pos="413" w:leader="none"/>
                <w:tab w:val="clear" w:pos="708" w:leader="none"/>
              </w:tabs>
            </w:pPr>
            <w:r>
              <w:rPr>
                <w:iCs/>
                <w:sz w:val="21"/>
                <w:szCs w:val="21"/>
                <w:shd w:val="clear" w:color="auto" w:fill="ffffff"/>
                <w:lang w:val="ru-RU" w:bidi="ar-SA"/>
              </w:rPr>
              <w:t xml:space="preserve">Правила по охране труда при обработке металлов (утв. приказом Министерства труда и социальной защиты Российской Федерации от 11.12.2020г. №887н);</w:t>
            </w:r>
            <w:r/>
          </w:p>
          <w:p>
            <w:pPr>
              <w:pStyle w:val="774"/>
              <w:numPr>
                <w:ilvl w:val="0"/>
                <w:numId w:val="13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13" w:leader="none"/>
                <w:tab w:val="left" w:pos="413" w:leader="none"/>
                <w:tab w:val="clear" w:pos="708" w:leader="none"/>
              </w:tabs>
            </w:pPr>
            <w:r>
              <w:rPr>
                <w:iCs/>
                <w:sz w:val="21"/>
                <w:szCs w:val="21"/>
                <w:shd w:val="clear" w:color="auto" w:fill="ffffff"/>
                <w:lang w:val="ru-RU" w:bidi="ar-SA"/>
              </w:rPr>
              <w:t xml:space="preserve">Правила при погрузочно-разгрузочных работах и размещении грузов (утв. приказом Министерства труда и социальной защиты Российской Федерации от 28.10.2020г. №753н);</w:t>
            </w:r>
            <w:r/>
          </w:p>
          <w:p>
            <w:pPr>
              <w:pStyle w:val="774"/>
              <w:numPr>
                <w:ilvl w:val="0"/>
                <w:numId w:val="13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13" w:leader="none"/>
                <w:tab w:val="left" w:pos="413" w:leader="none"/>
                <w:tab w:val="clear" w:pos="708" w:leader="none"/>
              </w:tabs>
            </w:pPr>
            <w:r>
              <w:rPr>
                <w:iCs/>
                <w:sz w:val="21"/>
                <w:szCs w:val="21"/>
                <w:shd w:val="clear" w:color="auto" w:fill="ffffff"/>
                <w:lang w:val="ru-RU" w:bidi="ar-SA"/>
              </w:rPr>
              <w:t xml:space="preserve">Правила при эксплуатации промышленного транспорта (напольный безрельсовый колесный транспорт) (утв. приказом Министерства труда и социальной защиты Российской Федерации от 18.11.2020г. №814н);</w:t>
            </w:r>
            <w:r/>
          </w:p>
          <w:p>
            <w:pPr>
              <w:pStyle w:val="774"/>
              <w:numPr>
                <w:ilvl w:val="0"/>
                <w:numId w:val="13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13" w:leader="none"/>
                <w:tab w:val="left" w:pos="413" w:leader="none"/>
                <w:tab w:val="clear" w:pos="708" w:leader="none"/>
              </w:tabs>
            </w:pPr>
            <w:r>
              <w:rPr>
                <w:iCs/>
                <w:sz w:val="21"/>
                <w:szCs w:val="21"/>
                <w:shd w:val="clear" w:color="auto" w:fill="ffffff"/>
                <w:lang w:val="ru-RU" w:bidi="ar-SA"/>
              </w:rPr>
              <w:t xml:space="preserve">Правила при выполнении электросварочных и газосварочных работ (утв. приказом Министерства труда и социальной защиты Российской Федерации от 11.12.2020г. №884н);</w:t>
            </w:r>
            <w:r/>
          </w:p>
          <w:p>
            <w:pPr>
              <w:pStyle w:val="774"/>
              <w:numPr>
                <w:ilvl w:val="0"/>
                <w:numId w:val="13"/>
              </w:numPr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313" w:leader="none"/>
                <w:tab w:val="left" w:pos="413" w:leader="none"/>
                <w:tab w:val="clear" w:pos="708" w:leader="none"/>
              </w:tabs>
            </w:pPr>
            <w:r>
              <w:rPr>
                <w:iCs/>
                <w:sz w:val="21"/>
                <w:szCs w:val="21"/>
                <w:shd w:val="clear" w:color="auto" w:fill="ffffff"/>
                <w:lang w:val="ru-RU" w:bidi="ar-SA"/>
              </w:rPr>
              <w:t xml:space="preserve">правила безопасности опасных производственных объектов, на которых используются подъемные сооружения (утв. приказом Федеральной службы по экологическому, технологическому и атомному надзору от 26.11.2020г. №461).</w:t>
            </w:r>
            <w:r/>
          </w:p>
          <w:p>
            <w:pPr>
              <w:pStyle w:val="861"/>
              <w:contextualSpacing w:val="0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tabs>
                <w:tab w:val="left" w:pos="256" w:leader="none"/>
                <w:tab w:val="clear" w:pos="708" w:leader="none"/>
              </w:tabs>
            </w:pPr>
            <w:r>
              <w:rPr>
                <w:i/>
                <w:sz w:val="21"/>
                <w:szCs w:val="21"/>
                <w:shd w:val="clear" w:color="auto" w:fill="ffffff"/>
                <w:lang w:val="ru-RU" w:bidi="ar-SA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</w:t>
            </w:r>
            <w:r>
              <w:rPr>
                <w:i/>
                <w:sz w:val="21"/>
                <w:szCs w:val="21"/>
                <w:shd w:val="clear" w:color="auto" w:fill="ffffff"/>
                <w:lang w:val="ru-RU" w:bidi="ar-SA"/>
              </w:rPr>
            </w:r>
            <w:r/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i/>
                <w:sz w:val="21"/>
                <w:szCs w:val="21"/>
                <w:highlight w:val="white"/>
                <w:lang w:val="ru-RU" w:bidi="ar-SA"/>
              </w:rPr>
              <w:t xml:space="preserve">Согласие с требованием</w:t>
            </w:r>
            <w:r/>
          </w:p>
        </w:tc>
        <w:tc>
          <w:tcPr>
            <w:tcBorders>
              <w:top w:val="none" w:color="000000" w:sz="4" w:space="0"/>
            </w:tcBorders>
            <w:tcW w:w="2208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7" w:type="dxa"/>
            <w:textDirection w:val="lrTb"/>
            <w:noWrap w:val="false"/>
          </w:tcPr>
          <w:p>
            <w:pPr>
              <w:pStyle w:val="861"/>
              <w:numPr>
                <w:ilvl w:val="0"/>
                <w:numId w:val="6"/>
              </w:numPr>
              <w:contextualSpacing w:val="0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none" w:color="000000" w:sz="4" w:space="0"/>
              <w:right w:val="none" w:color="000000" w:sz="4" w:space="0"/>
            </w:tcBorders>
            <w:tcW w:w="8436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b/>
                <w:bCs/>
                <w:sz w:val="24"/>
                <w:szCs w:val="24"/>
                <w:lang w:val="ru-RU" w:bidi="ar-SA"/>
              </w:rPr>
              <w:t xml:space="preserve">Требования к результатам услуг</w:t>
            </w:r>
            <w:r/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b/>
                <w:sz w:val="24"/>
                <w:szCs w:val="24"/>
                <w:lang w:val="ru-RU" w:bidi="ar-SA"/>
              </w:rPr>
              <w:t xml:space="preserve">-//-</w:t>
            </w:r>
            <w:r/>
          </w:p>
        </w:tc>
        <w:tc>
          <w:tcPr>
            <w:tcBorders>
              <w:top w:val="none" w:color="000000" w:sz="4" w:space="0"/>
            </w:tcBorders>
            <w:tcW w:w="2208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b/>
                <w:sz w:val="24"/>
                <w:szCs w:val="24"/>
                <w:lang w:val="ru-RU" w:bidi="ar-SA"/>
              </w:rPr>
              <w:t xml:space="preserve">-//-</w:t>
            </w:r>
            <w:r/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7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sz w:val="24"/>
                <w:szCs w:val="24"/>
                <w:lang w:val="ru-RU" w:bidi="ar-SA"/>
              </w:rPr>
              <w:t xml:space="preserve">2.1.</w:t>
            </w:r>
            <w:r/>
          </w:p>
        </w:tc>
        <w:tc>
          <w:tcPr>
            <w:gridSpan w:val="4"/>
            <w:tcBorders>
              <w:top w:val="none" w:color="000000" w:sz="4" w:space="0"/>
              <w:right w:val="none" w:color="000000" w:sz="4" w:space="0"/>
            </w:tcBorders>
            <w:tcW w:w="8436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b/>
                <w:sz w:val="24"/>
                <w:szCs w:val="24"/>
                <w:lang w:val="ru-RU" w:bidi="ar-SA"/>
              </w:rPr>
              <w:t xml:space="preserve">Общие требования к результатам услуг</w:t>
            </w:r>
            <w:r/>
          </w:p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sz w:val="21"/>
                <w:szCs w:val="21"/>
              </w:rPr>
              <w:t xml:space="preserve">Исполнитель обязан оказать услуги своими или привлеченными силами в объеме и сроки, предусмотренные техническим заданием, сметной документацией и сдать результат работ Заказчику.</w:t>
            </w:r>
            <w:r/>
          </w:p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sz w:val="21"/>
                <w:szCs w:val="21"/>
              </w:rPr>
              <w:t xml:space="preserve">Исполнитель должен подготовить и сдать Заказчику по акту в установленном порядке отчетную документацию, В комплект исполнительной документации входят:</w:t>
            </w:r>
            <w:r/>
          </w:p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sz w:val="21"/>
                <w:szCs w:val="21"/>
              </w:rPr>
              <w:t xml:space="preserve">- заключение о техническом состоянии генераторов;</w:t>
            </w:r>
            <w:r/>
          </w:p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sz w:val="21"/>
                <w:szCs w:val="21"/>
              </w:rPr>
              <w:t xml:space="preserve">- «Технический отчет по результатам комплексного обследования турбогенераторов» (в 2-х экземплярах) с рекомендациями по устранению выявленных дефектов;</w:t>
            </w:r>
            <w:r/>
          </w:p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sz w:val="21"/>
                <w:szCs w:val="21"/>
              </w:rPr>
              <w:t xml:space="preserve">- документально подтвержденная возможность дальнейшей эксплуатации, рекомендации по дальнейшей эксплуатации.</w:t>
            </w:r>
            <w:r/>
          </w:p>
          <w:p>
            <w:pPr>
              <w:pStyle w:val="774"/>
              <w:ind w:left="0" w:right="0" w:firstLine="0"/>
              <w:jc w:val="both"/>
              <w:spacing w:before="0" w:after="0" w:line="240" w:lineRule="auto"/>
              <w:widowControl w:val="off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i/>
                <w:sz w:val="21"/>
                <w:szCs w:val="21"/>
                <w:lang w:val="ru-RU" w:bidi="ar-SA"/>
              </w:rPr>
              <w:t xml:space="preserve">Согласие с требованием</w:t>
            </w:r>
            <w:r/>
          </w:p>
        </w:tc>
        <w:tc>
          <w:tcPr>
            <w:tcBorders>
              <w:top w:val="none" w:color="000000" w:sz="4" w:space="0"/>
            </w:tcBorders>
            <w:tcW w:w="2208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7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sz w:val="24"/>
                <w:szCs w:val="24"/>
                <w:lang w:val="ru-RU" w:bidi="ar-SA"/>
              </w:rPr>
              <w:t xml:space="preserve">2.2.</w:t>
            </w:r>
            <w:r/>
          </w:p>
        </w:tc>
        <w:tc>
          <w:tcPr>
            <w:gridSpan w:val="4"/>
            <w:tcBorders>
              <w:top w:val="none" w:color="000000" w:sz="4" w:space="0"/>
              <w:right w:val="none" w:color="000000" w:sz="4" w:space="0"/>
            </w:tcBorders>
            <w:tcW w:w="8436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b/>
                <w:bCs/>
                <w:sz w:val="24"/>
                <w:szCs w:val="24"/>
                <w:lang w:val="ru-RU" w:bidi="ar-SA"/>
              </w:rPr>
              <w:t xml:space="preserve">Требования к порядку приемки результатов работ</w:t>
            </w:r>
            <w:r/>
          </w:p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sz w:val="20"/>
                <w:szCs w:val="20"/>
                <w:lang w:val="ru-RU" w:bidi="ar-SA"/>
              </w:rPr>
              <w:t xml:space="preserve">Подробно указаны в проекте Договора подряда (в том числе в разделе № 4), который включен в состав Документации о закупке.</w:t>
            </w:r>
            <w:r/>
          </w:p>
          <w:p>
            <w:pPr>
              <w:pStyle w:val="774"/>
              <w:ind w:left="0" w:right="0" w:firstLine="0"/>
              <w:jc w:val="both"/>
              <w:spacing w:before="0" w:after="0" w:line="240" w:lineRule="auto"/>
              <w:widowControl w:val="off"/>
              <w:rPr>
                <w:sz w:val="20"/>
                <w:szCs w:val="20"/>
                <w:lang w:val="ru-RU" w:bidi="ar-SA"/>
              </w:rPr>
            </w:pPr>
            <w:r>
              <w:rPr>
                <w:sz w:val="20"/>
                <w:szCs w:val="20"/>
                <w:lang w:val="ru-RU" w:bidi="ar-SA"/>
              </w:rPr>
            </w:r>
            <w:r>
              <w:rPr>
                <w:sz w:val="20"/>
                <w:szCs w:val="20"/>
                <w:lang w:val="ru-RU" w:bidi="ar-SA"/>
              </w:rPr>
            </w:r>
            <w:r>
              <w:rPr>
                <w:sz w:val="20"/>
                <w:szCs w:val="20"/>
                <w:lang w:val="ru-RU" w:bidi="ar-SA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i/>
                <w:sz w:val="21"/>
                <w:szCs w:val="21"/>
                <w:lang w:val="ru-RU" w:bidi="ar-SA"/>
              </w:rPr>
              <w:t xml:space="preserve">Согласие с требованием</w:t>
            </w:r>
            <w:r/>
          </w:p>
        </w:tc>
        <w:tc>
          <w:tcPr>
            <w:tcBorders>
              <w:top w:val="none" w:color="000000" w:sz="4" w:space="0"/>
            </w:tcBorders>
            <w:tcW w:w="2208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7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sz w:val="24"/>
                <w:szCs w:val="24"/>
                <w:lang w:val="ru-RU" w:bidi="ar-SA"/>
              </w:rPr>
              <w:t xml:space="preserve">2.3</w:t>
            </w:r>
            <w:r/>
          </w:p>
        </w:tc>
        <w:tc>
          <w:tcPr>
            <w:gridSpan w:val="4"/>
            <w:tcBorders>
              <w:top w:val="none" w:color="000000" w:sz="4" w:space="0"/>
              <w:right w:val="none" w:color="000000" w:sz="4" w:space="0"/>
            </w:tcBorders>
            <w:tcW w:w="8436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b/>
                <w:sz w:val="24"/>
                <w:szCs w:val="24"/>
                <w:lang w:val="ru-RU" w:bidi="ar-SA"/>
              </w:rPr>
              <w:t xml:space="preserve">Требования к оформлению документации</w:t>
            </w:r>
            <w:r/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i/>
                <w:sz w:val="24"/>
                <w:szCs w:val="24"/>
                <w:lang w:val="ru-RU" w:bidi="ar-SA"/>
              </w:rPr>
              <w:t xml:space="preserve">-//-</w:t>
            </w:r>
            <w:r/>
          </w:p>
        </w:tc>
        <w:tc>
          <w:tcPr>
            <w:tcBorders>
              <w:top w:val="none" w:color="000000" w:sz="4" w:space="0"/>
            </w:tcBorders>
            <w:tcW w:w="2208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sz w:val="24"/>
                <w:szCs w:val="24"/>
                <w:lang w:val="ru-RU" w:bidi="ar-SA"/>
              </w:rPr>
              <w:t xml:space="preserve">-//-</w:t>
            </w:r>
            <w:r/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7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sz w:val="24"/>
                <w:szCs w:val="24"/>
                <w:lang w:val="ru-RU" w:bidi="ar-SA"/>
              </w:rPr>
              <w:t xml:space="preserve">2.3.1</w:t>
            </w:r>
            <w:r/>
          </w:p>
        </w:tc>
        <w:tc>
          <w:tcPr>
            <w:gridSpan w:val="3"/>
            <w:tcBorders>
              <w:top w:val="none" w:color="000000" w:sz="4" w:space="0"/>
              <w:right w:val="none" w:color="000000" w:sz="4" w:space="0"/>
            </w:tcBorders>
            <w:tcW w:w="2028" w:type="dxa"/>
            <w:textDirection w:val="lrTb"/>
            <w:noWrap w:val="false"/>
          </w:tcPr>
          <w:p>
            <w:pPr>
              <w:pStyle w:val="774"/>
              <w:numPr>
                <w:ilvl w:val="0"/>
                <w:numId w:val="0"/>
              </w:numPr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outlineLvl w:val="2"/>
            </w:pPr>
            <w:r>
              <w:rPr>
                <w:rFonts w:eastAsia="Calibri"/>
                <w:i/>
                <w:sz w:val="21"/>
                <w:szCs w:val="21"/>
                <w:highlight w:val="white"/>
                <w:lang w:val="ru-RU" w:bidi="ar-SA"/>
              </w:rPr>
              <w:t xml:space="preserve">Общие требования к оформлению документации</w:t>
            </w:r>
            <w:r/>
          </w:p>
          <w:p>
            <w:pPr>
              <w:pStyle w:val="774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</w:r>
            <w:r>
              <w:rPr>
                <w:b/>
                <w:sz w:val="21"/>
                <w:szCs w:val="21"/>
              </w:rPr>
            </w:r>
            <w:r>
              <w:rPr>
                <w:b/>
                <w:sz w:val="21"/>
                <w:szCs w:val="21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6408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both"/>
              <w:spacing w:before="0" w:after="0" w:line="240" w:lineRule="auto"/>
              <w:widowControl w:val="off"/>
              <w:rPr>
                <w:rFonts w:ascii="Times New Roman" w:hAnsi="Times New Roman"/>
                <w:color w:val="000000"/>
              </w:rPr>
            </w:pPr>
            <w:r>
              <w:rPr>
                <w:b w:val="0"/>
                <w:i w:val="0"/>
                <w:iCs/>
                <w:caps w:val="0"/>
                <w:smallCaps w:val="0"/>
                <w:color w:val="000000"/>
                <w:spacing w:val="0"/>
                <w:sz w:val="21"/>
                <w:szCs w:val="21"/>
                <w:highlight w:val="white"/>
                <w:lang w:val="ru-RU" w:bidi="ar-SA"/>
              </w:rPr>
              <w:t xml:space="preserve">Отчет должен быть предоставлен в электронном виде (PDF) и, при необходимости, в печатном виде.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iCs/>
                <w:lang w:val="ru-RU" w:bidi="ar-SA"/>
              </w:rPr>
            </w:pPr>
            <w:r>
              <w:rPr>
                <w:iCs/>
                <w:lang w:val="ru-RU" w:bidi="ar-SA"/>
              </w:rPr>
            </w:r>
            <w:r>
              <w:rPr>
                <w:iCs/>
                <w:lang w:val="ru-RU" w:bidi="ar-SA"/>
              </w:rPr>
            </w:r>
            <w:r>
              <w:rPr>
                <w:iCs/>
                <w:lang w:val="ru-RU" w:bidi="ar-SA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i/>
                <w:sz w:val="21"/>
                <w:szCs w:val="21"/>
                <w:lang w:val="ru-RU" w:bidi="ar-SA"/>
              </w:rPr>
              <w:t xml:space="preserve">Согласие с требованием</w:t>
            </w:r>
            <w:r/>
          </w:p>
        </w:tc>
        <w:tc>
          <w:tcPr>
            <w:tcBorders>
              <w:top w:val="none" w:color="000000" w:sz="4" w:space="0"/>
            </w:tcBorders>
            <w:tcW w:w="2208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7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sz w:val="24"/>
                <w:szCs w:val="24"/>
                <w:lang w:val="ru-RU" w:bidi="ar-SA"/>
              </w:rPr>
              <w:t xml:space="preserve">2.3.2</w:t>
            </w:r>
            <w:r/>
          </w:p>
        </w:tc>
        <w:tc>
          <w:tcPr>
            <w:gridSpan w:val="3"/>
            <w:tcBorders>
              <w:top w:val="none" w:color="000000" w:sz="4" w:space="0"/>
              <w:right w:val="none" w:color="000000" w:sz="4" w:space="0"/>
            </w:tcBorders>
            <w:tcW w:w="2028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rFonts w:eastAsia="Calibri"/>
                <w:i/>
                <w:sz w:val="21"/>
                <w:szCs w:val="21"/>
                <w:highlight w:val="white"/>
                <w:lang w:val="ru-RU" w:bidi="ar-SA"/>
              </w:rPr>
              <w:t xml:space="preserve">Состав документации включает в себя, но не ограничивается следующими документами</w:t>
            </w:r>
            <w:r/>
          </w:p>
          <w:p>
            <w:pPr>
              <w:pStyle w:val="774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sz w:val="21"/>
                <w:szCs w:val="21"/>
                <w:lang w:val="ru-RU" w:bidi="ar-SA"/>
              </w:rPr>
            </w:pPr>
            <w:r>
              <w:rPr>
                <w:sz w:val="21"/>
                <w:szCs w:val="21"/>
                <w:lang w:val="ru-RU" w:bidi="ar-SA"/>
              </w:rPr>
            </w:r>
            <w:r>
              <w:rPr>
                <w:sz w:val="21"/>
                <w:szCs w:val="21"/>
                <w:lang w:val="ru-RU" w:bidi="ar-SA"/>
              </w:rPr>
            </w:r>
            <w:r>
              <w:rPr>
                <w:sz w:val="21"/>
                <w:szCs w:val="21"/>
                <w:lang w:val="ru-RU" w:bidi="ar-SA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6408" w:type="dxa"/>
            <w:textDirection w:val="lrTb"/>
            <w:noWrap w:val="false"/>
          </w:tcPr>
          <w:p>
            <w:pPr>
              <w:pStyle w:val="861"/>
              <w:numPr>
                <w:ilvl w:val="0"/>
                <w:numId w:val="8"/>
              </w:numPr>
              <w:contextualSpacing w:val="0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iCs/>
                <w:sz w:val="21"/>
                <w:szCs w:val="21"/>
                <w:highlight w:val="white"/>
                <w:lang w:val="ru-RU" w:bidi="ar-SA"/>
              </w:rPr>
              <w:t xml:space="preserve">Формат передаваемой в электронном виде документации:</w:t>
            </w:r>
            <w:r/>
          </w:p>
          <w:p>
            <w:pPr>
              <w:pStyle w:val="861"/>
              <w:numPr>
                <w:ilvl w:val="0"/>
                <w:numId w:val="8"/>
              </w:numPr>
              <w:contextualSpacing w:val="0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iCs/>
                <w:sz w:val="21"/>
                <w:szCs w:val="21"/>
                <w:highlight w:val="white"/>
                <w:lang w:val="ru-RU" w:bidi="ar-SA"/>
              </w:rPr>
              <w:t xml:space="preserve">текстовая часть — docx (MS Word), pdf;</w:t>
            </w:r>
            <w:r/>
          </w:p>
          <w:p>
            <w:pPr>
              <w:pStyle w:val="861"/>
              <w:numPr>
                <w:ilvl w:val="0"/>
                <w:numId w:val="8"/>
              </w:numPr>
              <w:contextualSpacing w:val="0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iCs/>
                <w:sz w:val="21"/>
                <w:szCs w:val="21"/>
                <w:highlight w:val="white"/>
                <w:lang w:val="ru-RU" w:bidi="ar-SA"/>
              </w:rPr>
              <w:t xml:space="preserve">графическая часть — dwg (AutoCAD), pdf;</w:t>
            </w:r>
            <w:r/>
          </w:p>
          <w:p>
            <w:pPr>
              <w:pStyle w:val="861"/>
              <w:numPr>
                <w:ilvl w:val="0"/>
                <w:numId w:val="8"/>
              </w:numPr>
              <w:contextualSpacing w:val="0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iCs/>
                <w:sz w:val="21"/>
                <w:szCs w:val="21"/>
                <w:highlight w:val="white"/>
                <w:lang w:val="ru-RU" w:bidi="ar-SA"/>
              </w:rPr>
              <w:t xml:space="preserve">таблицы данных — docx (MS Word), xlsx (MS Excel);</w:t>
            </w:r>
            <w:r/>
          </w:p>
          <w:p>
            <w:pPr>
              <w:pStyle w:val="861"/>
              <w:numPr>
                <w:ilvl w:val="0"/>
                <w:numId w:val="8"/>
              </w:numPr>
              <w:contextualSpacing w:val="0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iCs/>
                <w:sz w:val="21"/>
                <w:szCs w:val="21"/>
                <w:highlight w:val="white"/>
                <w:lang w:val="ru-RU" w:bidi="ar-SA"/>
              </w:rPr>
              <w:t xml:space="preserve">презентационные материалы — pptx (MS PowerPoint).</w:t>
            </w:r>
            <w:r/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i/>
                <w:sz w:val="21"/>
                <w:szCs w:val="21"/>
                <w:lang w:val="ru-RU" w:bidi="ar-SA"/>
              </w:rPr>
              <w:t xml:space="preserve">Согласие с требованием</w:t>
            </w:r>
            <w:r/>
          </w:p>
        </w:tc>
        <w:tc>
          <w:tcPr>
            <w:tcBorders>
              <w:top w:val="none" w:color="000000" w:sz="4" w:space="0"/>
            </w:tcBorders>
            <w:tcW w:w="2208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7" w:type="dxa"/>
            <w:textDirection w:val="lrTb"/>
            <w:noWrap w:val="false"/>
          </w:tcPr>
          <w:p>
            <w:pPr>
              <w:pStyle w:val="861"/>
              <w:numPr>
                <w:ilvl w:val="0"/>
                <w:numId w:val="6"/>
              </w:numPr>
              <w:contextualSpacing w:val="0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none" w:color="000000" w:sz="4" w:space="0"/>
              <w:right w:val="none" w:color="000000" w:sz="4" w:space="0"/>
            </w:tcBorders>
            <w:tcW w:w="8436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b/>
                <w:sz w:val="21"/>
                <w:szCs w:val="21"/>
                <w:lang w:val="ru-RU" w:bidi="ar-SA"/>
              </w:rPr>
              <w:t xml:space="preserve">Требования к соблюдению положений нормативной и иной обязательной для Исполнителя документации, определяемой оказываемыми услугами (помимо указанных в других разделах ТТ)</w:t>
            </w:r>
            <w:r/>
          </w:p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sz w:val="21"/>
                <w:szCs w:val="21"/>
                <w:lang w:val="ru-RU" w:bidi="ar-SA"/>
              </w:rPr>
              <w:t xml:space="preserve">П</w:t>
            </w:r>
            <w:r>
              <w:rPr>
                <w:i/>
                <w:iCs/>
                <w:sz w:val="21"/>
                <w:szCs w:val="21"/>
                <w:lang w:val="ru-RU" w:bidi="ar-SA"/>
              </w:rPr>
              <w:t xml:space="preserve">одробно указаны в проекте Договора подряда в том числе в разделе №2, Техническом задании), который включен в состав Документации о закупке.</w:t>
            </w:r>
            <w:r>
              <w:rPr>
                <w:i/>
                <w:iCs/>
                <w:sz w:val="21"/>
                <w:szCs w:val="21"/>
                <w:lang w:val="ru-RU" w:bidi="ar-SA"/>
              </w:rPr>
            </w:r>
            <w:r/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i/>
                <w:sz w:val="21"/>
                <w:szCs w:val="21"/>
                <w:lang w:val="ru-RU" w:bidi="ar-SA"/>
              </w:rPr>
              <w:t xml:space="preserve">Согласие с требованием</w:t>
            </w:r>
            <w:r/>
          </w:p>
        </w:tc>
        <w:tc>
          <w:tcPr>
            <w:tcBorders>
              <w:top w:val="none" w:color="000000" w:sz="4" w:space="0"/>
            </w:tcBorders>
            <w:tcW w:w="2208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7" w:type="dxa"/>
            <w:textDirection w:val="lrTb"/>
            <w:noWrap w:val="false"/>
          </w:tcPr>
          <w:p>
            <w:pPr>
              <w:pStyle w:val="861"/>
              <w:numPr>
                <w:ilvl w:val="0"/>
                <w:numId w:val="6"/>
              </w:numPr>
              <w:contextualSpacing w:val="0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4"/>
            <w:tcBorders>
              <w:top w:val="none" w:color="000000" w:sz="4" w:space="0"/>
              <w:right w:val="none" w:color="000000" w:sz="4" w:space="0"/>
            </w:tcBorders>
            <w:tcW w:w="8436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both"/>
              <w:keepLines w:val="0"/>
              <w:keepNext w:val="0"/>
              <w:spacing w:before="0" w:after="0" w:line="240" w:lineRule="auto"/>
              <w:widowControl w:val="off"/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val="ru-RU" w:bidi="ar-SA"/>
              </w:rPr>
              <w:t xml:space="preserve">Требования к победителю</w:t>
            </w:r>
            <w:r/>
          </w:p>
        </w:tc>
        <w:tc>
          <w:tcPr>
            <w:gridSpan w:val="2"/>
            <w:tcBorders>
              <w:top w:val="none" w:color="000000" w:sz="4" w:space="0"/>
            </w:tcBorders>
            <w:tcW w:w="5468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left"/>
              <w:keepLines w:val="0"/>
              <w:keepNext w:val="0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</w:trPr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777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6"/>
            <w:tcBorders>
              <w:top w:val="none" w:color="000000" w:sz="4" w:space="0"/>
            </w:tcBorders>
            <w:tcW w:w="13903" w:type="dxa"/>
            <w:textDirection w:val="lrTb"/>
            <w:noWrap w:val="false"/>
          </w:tcPr>
          <w:p>
            <w:pPr>
              <w:pStyle w:val="774"/>
              <w:ind w:left="0" w:right="0" w:firstLine="720"/>
              <w:jc w:val="both"/>
              <w:keepLines w:val="0"/>
              <w:keepNext w:val="0"/>
              <w:spacing w:before="0" w:after="0" w:line="240" w:lineRule="auto"/>
              <w:widowControl w:val="off"/>
              <w:suppressLineNumbers w:val="0"/>
            </w:pPr>
            <w:r>
              <w:rPr>
                <w:rFonts w:eastAsia="Times New Roman" w:cs="Times New Roman"/>
                <w:sz w:val="21"/>
                <w:szCs w:val="21"/>
                <w:lang w:val="ru-RU" w:bidi="ar-SA"/>
              </w:rPr>
              <w:t xml:space="preserve">Участник, признанный </w:t>
            </w:r>
            <w:r>
              <w:rPr>
                <w:rFonts w:eastAsia="Times New Roman" w:cs="Times New Roman"/>
                <w:b/>
                <w:bCs/>
                <w:sz w:val="21"/>
                <w:szCs w:val="21"/>
                <w:lang w:val="ru-RU" w:bidi="ar-SA"/>
              </w:rPr>
              <w:t xml:space="preserve">победителем</w:t>
            </w:r>
            <w:r>
              <w:rPr>
                <w:rFonts w:eastAsia="Times New Roman" w:cs="Times New Roman"/>
                <w:sz w:val="21"/>
                <w:szCs w:val="21"/>
                <w:lang w:val="ru-RU" w:bidi="ar-SA"/>
              </w:rPr>
              <w:t xml:space="preserve"> закупочной процедуры, в течение </w:t>
            </w:r>
            <w:r>
              <w:rPr>
                <w:rFonts w:eastAsia="Times New Roman" w:cs="Times New Roman"/>
                <w:b/>
                <w:bCs/>
                <w:sz w:val="21"/>
                <w:szCs w:val="21"/>
                <w:u w:val="single"/>
                <w:lang w:val="ru-RU" w:bidi="ar-SA"/>
              </w:rPr>
              <w:t xml:space="preserve">5 (пяти) рабочих дней </w:t>
            </w:r>
            <w:r>
              <w:rPr>
                <w:rFonts w:eastAsia="Times New Roman" w:cs="Times New Roman"/>
                <w:sz w:val="21"/>
                <w:szCs w:val="21"/>
                <w:lang w:val="ru-RU" w:bidi="ar-SA"/>
              </w:rPr>
              <w:t xml:space="preserve">после размещения протокола подведения итогов закупки на сайте </w:t>
            </w:r>
            <w:hyperlink r:id="rId14" w:tooltip="http://www.zakupki.gov.ru/" w:history="1">
              <w:r>
                <w:rPr>
                  <w:rStyle w:val="819"/>
                  <w:rFonts w:eastAsia="Times New Roman" w:cs="Times New Roman"/>
                  <w:sz w:val="21"/>
                  <w:szCs w:val="21"/>
                  <w:lang w:val="ru-RU" w:bidi="ar-SA"/>
                </w:rPr>
                <w:t xml:space="preserve">www.zakupki.gov.ru</w:t>
              </w:r>
            </w:hyperlink>
            <w:r>
              <w:rPr>
                <w:rFonts w:eastAsia="Times New Roman" w:cs="Times New Roman"/>
                <w:sz w:val="21"/>
                <w:szCs w:val="21"/>
                <w:lang w:val="ru-RU" w:bidi="ar-SA"/>
              </w:rPr>
              <w:t xml:space="preserve"> (до заключения договора), должен предоставить в адрес Заказчика на электронный адрес (Gavrilova-MSR@dgk.ru) дополнительные документы.</w:t>
            </w:r>
            <w:r/>
          </w:p>
          <w:p>
            <w:pPr>
              <w:pStyle w:val="774"/>
              <w:ind w:left="0" w:right="0" w:firstLine="720"/>
              <w:jc w:val="both"/>
              <w:keepLines w:val="0"/>
              <w:keepNext w:val="0"/>
              <w:spacing w:before="0" w:after="0" w:line="240" w:lineRule="auto"/>
              <w:widowControl w:val="off"/>
              <w:rPr>
                <w:sz w:val="21"/>
                <w:szCs w:val="21"/>
              </w:rPr>
              <w:suppressLineNumbers w:val="0"/>
            </w:pPr>
            <w:r>
              <w:rPr>
                <w:rFonts w:eastAsia="Times New Roman" w:cs="Times New Roman"/>
                <w:sz w:val="21"/>
                <w:szCs w:val="21"/>
                <w:lang w:val="ru-RU" w:bidi="ar-SA"/>
              </w:rPr>
              <w:t xml:space="preserve">В случае не предоставления документов, указанных в данном пункте Технических требований в установленный срок, в соответствии с условиями Документации о закупке, Победитель призн</w:t>
            </w:r>
            <w:r>
              <w:rPr>
                <w:rFonts w:eastAsia="Times New Roman" w:cs="Times New Roman"/>
                <w:sz w:val="21"/>
                <w:szCs w:val="21"/>
                <w:lang w:val="ru-RU" w:bidi="ar-SA"/>
              </w:rPr>
              <w:t xml:space="preserve">ается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допущенных заявок.</w: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right w:val="none" w:color="000000" w:sz="4" w:space="0"/>
            </w:tcBorders>
            <w:tcW w:w="726" w:type="dxa"/>
            <w:textDirection w:val="lrTb"/>
            <w:noWrap w:val="false"/>
          </w:tcPr>
          <w:p>
            <w:pPr>
              <w:pStyle w:val="774"/>
              <w:ind w:left="0" w:right="0" w:firstLine="0"/>
              <w:jc w:val="center"/>
              <w:keepLines w:val="0"/>
              <w:keepNext w:val="0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Borders>
              <w:top w:val="none" w:color="000000" w:sz="4" w:space="0"/>
              <w:right w:val="none" w:color="000000" w:sz="4" w:space="0"/>
            </w:tcBorders>
            <w:tcW w:w="8487" w:type="dxa"/>
            <w:textDirection w:val="lrTb"/>
            <w:noWrap w:val="false"/>
          </w:tcPr>
          <w:p>
            <w:pPr>
              <w:pStyle w:val="774"/>
              <w:ind w:left="0" w:right="141" w:firstLine="0"/>
              <w:jc w:val="both"/>
              <w:spacing w:before="0" w:after="0" w:line="240" w:lineRule="auto"/>
              <w:widowControl w:val="off"/>
              <w:rPr>
                <w:sz w:val="21"/>
                <w:szCs w:val="21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1"/>
                <w:szCs w:val="21"/>
                <w:highlight w:val="white"/>
                <w:u w:val="single"/>
                <w:lang w:val="ru-RU" w:eastAsia="en-US" w:bidi="ar-SA"/>
              </w:rPr>
              <w:t xml:space="preserve">Требования к кадровым ресурсам Победителя</w: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</w:p>
          <w:p>
            <w:pPr>
              <w:pStyle w:val="774"/>
              <w:ind w:left="0" w:right="0" w:firstLine="720"/>
              <w:jc w:val="both"/>
              <w:spacing w:before="0" w:after="0" w:line="240" w:lineRule="auto"/>
              <w:widowControl w:val="off"/>
              <w:rPr>
                <w:sz w:val="21"/>
                <w:szCs w:val="21"/>
              </w:rPr>
              <w:suppressLineNumbers w:val="0"/>
            </w:pPr>
            <w:r>
              <w:rPr>
                <w:rFonts w:eastAsia="Times New Roman" w:cs="Times New Roman"/>
                <w:sz w:val="21"/>
                <w:szCs w:val="21"/>
                <w:highlight w:val="white"/>
                <w:lang w:val="ru-RU" w:eastAsia="en-US" w:bidi="ar-SA"/>
              </w:rPr>
              <w:t xml:space="preserve">1) Согласно Приказу Минтруда России от 15.12.2020 N 903н (ред. от 29.04.2025) "Об утверждении Правил по охране труда при эксплуатации электроустановок" (Зарегистрировано в Минюсте России 30.12.2020 N 61957):</w: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</w:p>
          <w:p>
            <w:pPr>
              <w:pStyle w:val="861"/>
              <w:numPr>
                <w:ilvl w:val="0"/>
                <w:numId w:val="17"/>
              </w:numPr>
              <w:contextualSpacing/>
              <w:ind w:left="0" w:right="0" w:firstLine="720"/>
              <w:jc w:val="both"/>
              <w:spacing w:before="0" w:after="0" w:line="240" w:lineRule="auto"/>
              <w:widowControl w:val="off"/>
              <w:rPr>
                <w:sz w:val="21"/>
                <w:szCs w:val="21"/>
              </w:rPr>
              <w:suppressLineNumbers w:val="0"/>
            </w:pPr>
            <w:r>
              <w:rPr>
                <w:rFonts w:eastAsia="Times New Roman" w:cs="Times New Roman"/>
                <w:sz w:val="21"/>
                <w:szCs w:val="21"/>
                <w:highlight w:val="white"/>
                <w:lang w:val="ru-RU" w:eastAsia="en-US" w:bidi="ar-SA"/>
              </w:rPr>
              <w:t xml:space="preserve">иметь квалифицированный персонал не менее 3-х человек обладающих требуемым допуском по электробезопасности свыше 1000 В)</w:t>
            </w:r>
            <w:r>
              <w:rPr>
                <w:rFonts w:eastAsia="Times New Roman" w:cs="Times New Roman"/>
                <w:sz w:val="21"/>
                <w:szCs w:val="21"/>
                <w:highlight w:val="white"/>
                <w:lang w:val="ru-RU" w:eastAsia="en-US" w:bidi="ar-SA"/>
              </w:rPr>
              <w:t xml:space="preserve">.</w: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</w:p>
          <w:p>
            <w:pPr>
              <w:contextualSpacing/>
              <w:ind w:left="0" w:right="141" w:firstLine="0"/>
              <w:jc w:val="left"/>
              <w:spacing w:before="0" w:after="0" w:line="240" w:lineRule="auto"/>
              <w:widowControl w:val="off"/>
              <w:rPr>
                <w:sz w:val="21"/>
                <w:szCs w:val="21"/>
              </w:rPr>
            </w:pPr>
            <w:r>
              <w:rPr>
                <w:rFonts w:eastAsia="Times New Roman" w:cs="Times New Roman"/>
                <w:sz w:val="21"/>
                <w:szCs w:val="21"/>
                <w:highlight w:val="none"/>
                <w:lang w:val="ru-RU" w:eastAsia="en-US" w:bidi="ar-SA"/>
              </w:rPr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</w:p>
          <w:p>
            <w:pPr>
              <w:pStyle w:val="774"/>
              <w:ind w:left="0" w:firstLine="720"/>
              <w:jc w:val="both"/>
              <w:spacing w:before="0" w:after="0" w:line="240" w:lineRule="auto"/>
              <w:widowControl w:val="off"/>
              <w:rPr>
                <w:sz w:val="21"/>
                <w:szCs w:val="21"/>
              </w:rPr>
              <w:suppressLineNumbers w:val="0"/>
            </w:pPr>
            <w:r>
              <w:rPr>
                <w:rFonts w:eastAsia="Times New Roman" w:cs="Times New Roman"/>
                <w:sz w:val="21"/>
                <w:szCs w:val="21"/>
                <w:lang w:val="ru-RU" w:eastAsia="en-US" w:bidi="ar-SA"/>
              </w:rPr>
              <w:t xml:space="preserve">2) Согласно </w:t>
            </w:r>
            <w:r>
              <w:rPr>
                <w:rFonts w:eastAsia="Times New Roman" w:cs="Times New Roman"/>
                <w:sz w:val="21"/>
                <w:szCs w:val="21"/>
                <w:highlight w:val="white"/>
                <w:lang w:val="ru-RU" w:eastAsia="en-US" w:bidi="ar-SA"/>
              </w:rPr>
              <w:t xml:space="preserve">п.92 Постановления правительства Российской федерации от 24.12.2021 г.№2464 «О порядке обучения по охране труда и проверки знаний требований охраны труда»:</w: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</w:p>
          <w:p>
            <w:pPr>
              <w:pStyle w:val="774"/>
              <w:ind w:left="0" w:firstLine="0"/>
              <w:jc w:val="both"/>
              <w:spacing w:before="0" w:after="0" w:line="240" w:lineRule="auto"/>
              <w:widowControl w:val="off"/>
              <w:rPr>
                <w:sz w:val="21"/>
                <w:szCs w:val="21"/>
              </w:rPr>
              <w:suppressLineNumbers w:val="0"/>
            </w:pPr>
            <w:r>
              <w:rPr>
                <w:rFonts w:eastAsia="Times New Roman" w:cs="Times New Roman"/>
                <w:sz w:val="21"/>
                <w:szCs w:val="21"/>
                <w:highlight w:val="white"/>
                <w:lang w:val="ru-RU" w:eastAsia="en-US" w:bidi="ru-RU"/>
              </w:rPr>
              <w:t xml:space="preserve">И</w:t>
            </w:r>
            <w:r>
              <w:rPr>
                <w:rFonts w:eastAsia="Times New Roman" w:cs="Times New Roman"/>
                <w:sz w:val="21"/>
                <w:szCs w:val="21"/>
                <w:highlight w:val="white"/>
                <w:lang w:val="ru-RU" w:eastAsia="en-US" w:bidi="ru-RU"/>
              </w:rPr>
              <w:t xml:space="preserve">меть в наличие не менее</w:t>
            </w:r>
            <w:r>
              <w:rPr>
                <w:rFonts w:eastAsia="Times New Roman" w:cs="Times New Roman"/>
                <w:sz w:val="21"/>
                <w:szCs w:val="21"/>
                <w:highlight w:val="white"/>
                <w:lang w:val="ru-RU" w:eastAsia="en-US" w:bidi="ar-SA"/>
              </w:rPr>
              <w:t xml:space="preserve">  3 человек (руководитель, производитель работ и всех членов бригады) прошедших проверку знаний требований охраны труда и имеющих допуск работы в электроустановках.</w: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</w:p>
          <w:p>
            <w:pPr>
              <w:pStyle w:val="774"/>
              <w:ind w:left="0" w:right="141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eastAsia="Arial" w:cs="Times New Roman"/>
                <w:sz w:val="21"/>
                <w:szCs w:val="21"/>
                <w:highlight w:val="white"/>
                <w:lang w:val="ru-RU" w:eastAsia="en-US" w:bidi="ar-SA"/>
              </w:rPr>
            </w:pPr>
            <w:r>
              <w:rPr>
                <w:rFonts w:eastAsia="Arial" w:cs="Times New Roman"/>
                <w:sz w:val="21"/>
                <w:szCs w:val="21"/>
                <w:highlight w:val="white"/>
                <w:lang w:val="ru-RU" w:eastAsia="en-US" w:bidi="ar-SA"/>
              </w:rPr>
            </w:r>
            <w:r>
              <w:rPr>
                <w:rFonts w:ascii="Times New Roman" w:hAnsi="Times New Roman" w:eastAsia="Arial" w:cs="Times New Roman"/>
                <w:sz w:val="21"/>
                <w:szCs w:val="21"/>
                <w:highlight w:val="white"/>
                <w:lang w:val="ru-RU" w:eastAsia="en-US" w:bidi="ar-SA"/>
              </w:rPr>
            </w:r>
            <w:r>
              <w:rPr>
                <w:rFonts w:ascii="Times New Roman" w:hAnsi="Times New Roman" w:eastAsia="Arial" w:cs="Times New Roman"/>
                <w:sz w:val="21"/>
                <w:szCs w:val="21"/>
                <w:highlight w:val="white"/>
                <w:lang w:val="ru-RU" w:eastAsia="en-US" w:bidi="ar-SA"/>
              </w:rPr>
            </w:r>
          </w:p>
          <w:p>
            <w:pPr>
              <w:pStyle w:val="774"/>
              <w:ind w:left="0" w:right="141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eastAsia="Arial" w:cs="Times New Roman"/>
                <w:sz w:val="21"/>
                <w:szCs w:val="21"/>
                <w:highlight w:val="white"/>
                <w:lang w:val="ru-RU" w:eastAsia="en-US" w:bidi="ar-SA"/>
              </w:rPr>
            </w:pPr>
            <w:r>
              <w:rPr>
                <w:rFonts w:eastAsia="Arial" w:cs="Times New Roman"/>
                <w:sz w:val="21"/>
                <w:szCs w:val="21"/>
                <w:highlight w:val="white"/>
                <w:lang w:val="ru-RU" w:eastAsia="en-US" w:bidi="ar-SA"/>
              </w:rPr>
            </w:r>
            <w:r>
              <w:rPr>
                <w:rFonts w:ascii="Times New Roman" w:hAnsi="Times New Roman" w:eastAsia="Arial" w:cs="Times New Roman"/>
                <w:sz w:val="21"/>
                <w:szCs w:val="21"/>
                <w:highlight w:val="white"/>
                <w:lang w:val="ru-RU" w:eastAsia="en-US" w:bidi="ar-SA"/>
              </w:rPr>
            </w:r>
            <w:r>
              <w:rPr>
                <w:rFonts w:ascii="Times New Roman" w:hAnsi="Times New Roman" w:eastAsia="Arial" w:cs="Times New Roman"/>
                <w:sz w:val="21"/>
                <w:szCs w:val="21"/>
                <w:highlight w:val="white"/>
                <w:lang w:val="ru-RU" w:eastAsia="en-US" w:bidi="ar-SA"/>
              </w:rPr>
            </w:r>
          </w:p>
        </w:tc>
        <w:tc>
          <w:tcPr>
            <w:gridSpan w:val="2"/>
            <w:tcBorders>
              <w:top w:val="none" w:color="000000" w:sz="4" w:space="0"/>
            </w:tcBorders>
            <w:tcW w:w="5468" w:type="dxa"/>
            <w:textDirection w:val="lrTb"/>
            <w:noWrap w:val="false"/>
          </w:tcPr>
          <w:p>
            <w:pPr>
              <w:pStyle w:val="774"/>
              <w:ind w:left="142" w:right="141" w:firstLine="0"/>
              <w:jc w:val="both"/>
              <w:spacing w:before="0" w:after="0" w:line="240" w:lineRule="auto"/>
              <w:widowControl w:val="off"/>
              <w:rPr>
                <w:sz w:val="21"/>
                <w:szCs w:val="21"/>
                <w:lang w:val="ru-RU" w:eastAsia="en-US" w:bidi="ar-SA"/>
              </w:rPr>
            </w:pPr>
            <w:r>
              <w:rPr>
                <w:rFonts w:eastAsia="Times New Roman" w:cs="Times New Roman"/>
                <w:b/>
                <w:bCs/>
                <w:sz w:val="21"/>
                <w:szCs w:val="21"/>
                <w:highlight w:val="white"/>
                <w:u w:val="single"/>
                <w:lang w:val="ru-RU" w:eastAsia="en-US" w:bidi="ar-SA"/>
              </w:rPr>
              <w:t xml:space="preserve">Подтверждается</w:t>
            </w:r>
            <w:r>
              <w:rPr>
                <w:rFonts w:eastAsia="Times New Roman" w:cs="Times New Roman"/>
                <w:sz w:val="21"/>
                <w:szCs w:val="21"/>
                <w:highlight w:val="white"/>
                <w:lang w:val="ru-RU" w:eastAsia="en-US" w:bidi="ar-SA"/>
              </w:rPr>
              <w:t xml:space="preserve">:</w:t>
            </w:r>
            <w:r>
              <w:rPr>
                <w:sz w:val="21"/>
                <w:szCs w:val="21"/>
                <w:lang w:val="ru-RU" w:eastAsia="en-US" w:bidi="ar-SA"/>
              </w:rPr>
            </w:r>
            <w:r>
              <w:rPr>
                <w:sz w:val="21"/>
                <w:szCs w:val="21"/>
                <w:lang w:val="ru-RU" w:eastAsia="en-US" w:bidi="ar-SA"/>
              </w:rPr>
            </w:r>
          </w:p>
          <w:p>
            <w:pPr>
              <w:pStyle w:val="774"/>
              <w:ind w:left="0" w:right="0" w:firstLine="720"/>
              <w:jc w:val="both"/>
              <w:spacing w:before="0" w:after="0" w:line="240" w:lineRule="auto"/>
              <w:widowControl w:val="off"/>
              <w:rPr>
                <w:sz w:val="21"/>
                <w:szCs w:val="21"/>
              </w:rPr>
              <w:suppressLineNumbers w:val="0"/>
            </w:pPr>
            <w:r>
              <w:rPr>
                <w:rFonts w:eastAsia="Times New Roman" w:cs="Times New Roman"/>
                <w:sz w:val="21"/>
                <w:szCs w:val="21"/>
                <w:highlight w:val="white"/>
                <w:lang w:val="ru-RU" w:eastAsia="en-US" w:bidi="ar-SA"/>
              </w:rPr>
              <w:t xml:space="preserve">1.Копиями квалификационных удостов</w:t>
            </w:r>
            <w:r>
              <w:rPr>
                <w:rFonts w:eastAsia="Times New Roman" w:cs="Times New Roman"/>
                <w:sz w:val="21"/>
                <w:szCs w:val="21"/>
                <w:highlight w:val="white"/>
                <w:lang w:val="ru-RU" w:eastAsia="en-US" w:bidi="ar-SA"/>
              </w:rPr>
              <w:t xml:space="preserve">ерений установленного образца с соответствующей группой по электробезопасности: у ответственного руководителя работ - не менее V группы по электробезопасности, у производителя работ - не менее IV группы по электробезопасности, члены бригады не ниже III гр.</w: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</w:p>
          <w:p>
            <w:pPr>
              <w:pStyle w:val="774"/>
              <w:ind w:left="0" w:right="141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highlight w:val="white"/>
              </w:rPr>
            </w:pPr>
            <w:r>
              <w:rPr>
                <w:rFonts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highlight w:val="white"/>
              </w:rPr>
            </w:r>
          </w:p>
          <w:p>
            <w:pPr>
              <w:pStyle w:val="774"/>
              <w:ind w:left="0" w:right="0" w:firstLine="720"/>
              <w:jc w:val="both"/>
              <w:spacing w:before="0" w:after="0" w:line="240" w:lineRule="auto"/>
              <w:widowControl w:val="off"/>
              <w:rPr>
                <w:sz w:val="21"/>
                <w:szCs w:val="21"/>
              </w:rPr>
              <w:suppressLineNumbers w:val="0"/>
            </w:pPr>
            <w:r>
              <w:rPr>
                <w:rFonts w:eastAsia="Times New Roman" w:cs="Times New Roman"/>
                <w:sz w:val="21"/>
                <w:szCs w:val="21"/>
                <w:lang w:val="ru-RU" w:eastAsia="en-US" w:bidi="ar-SA"/>
              </w:rPr>
              <w:t xml:space="preserve">2. К</w:t>
            </w:r>
            <w:r>
              <w:rPr>
                <w:rFonts w:eastAsia="Times New Roman" w:cs="Times New Roman"/>
                <w:sz w:val="21"/>
                <w:szCs w:val="21"/>
                <w:highlight w:val="white"/>
                <w:lang w:val="ru-RU" w:eastAsia="en-US" w:bidi="ar-SA"/>
              </w:rPr>
              <w:t xml:space="preserve">опиями протокола (-ов) проверки знания требований охраны труда обученных лиц, не менее чем на 3 человек, (руководитель, производитель работ и всех членов бригады), которые будут непосредственно на объектах выполнять работы по Наряду-допуску</w:t>
            </w:r>
            <w:r>
              <w:rPr>
                <w:sz w:val="21"/>
                <w:szCs w:val="21"/>
              </w:rPr>
            </w:r>
            <w:r>
              <w:rPr>
                <w:sz w:val="21"/>
                <w:szCs w:val="21"/>
              </w:rPr>
            </w:r>
          </w:p>
        </w:tc>
      </w:tr>
    </w:tbl>
    <w:p>
      <w:pPr>
        <w:sectPr>
          <w:headerReference w:type="default" r:id="rId10"/>
          <w:headerReference w:type="first" r:id="rId11"/>
          <w:footnotePr/>
          <w:endnotePr/>
          <w:type w:val="nextPage"/>
          <w:pgSz w:w="16838" w:h="11906" w:orient="landscape"/>
          <w:pgMar w:top="993" w:right="1134" w:bottom="850" w:left="1134" w:header="426" w:footer="0" w:gutter="0"/>
          <w:cols w:num="1" w:sep="0" w:space="1701" w:equalWidth="1"/>
          <w:docGrid w:linePitch="360"/>
        </w:sectPr>
      </w:pPr>
      <w:r/>
      <w:r/>
    </w:p>
    <w:p>
      <w:pPr>
        <w:pStyle w:val="861"/>
        <w:ind w:left="0" w:firstLine="0"/>
        <w:jc w:val="both"/>
        <w:shd w:val="clear" w:color="auto" w:fill="ffffff"/>
        <w:tabs>
          <w:tab w:val="clear" w:pos="708" w:leader="none"/>
          <w:tab w:val="left" w:pos="709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72"/>
        <w:jc w:val="center"/>
        <w:spacing w:before="0" w:after="0" w:line="250" w:lineRule="exact"/>
        <w:shd w:val="clear" w:color="auto" w:fill="auto"/>
        <w:tabs>
          <w:tab w:val="left" w:pos="368" w:leader="none"/>
          <w:tab w:val="clear" w:pos="708" w:leader="none"/>
        </w:tabs>
      </w:pPr>
      <w:r>
        <w:t xml:space="preserve">3. Требования к документации по ценообразованию на этапе закупки</w:t>
      </w:r>
      <w:r/>
    </w:p>
    <w:p>
      <w:pPr>
        <w:pStyle w:val="872"/>
        <w:ind w:left="-207" w:firstLine="0"/>
        <w:jc w:val="both"/>
        <w:spacing w:before="0" w:after="0" w:line="250" w:lineRule="exact"/>
        <w:shd w:val="clear" w:color="auto" w:fill="auto"/>
        <w:tabs>
          <w:tab w:val="left" w:pos="368" w:leader="none"/>
          <w:tab w:val="clear" w:pos="708" w:leader="none"/>
        </w:tabs>
      </w:pPr>
      <w:r/>
      <w:r/>
    </w:p>
    <w:p>
      <w:pPr>
        <w:pStyle w:val="871"/>
        <w:numPr>
          <w:ilvl w:val="0"/>
          <w:numId w:val="19"/>
        </w:numPr>
        <w:ind w:right="220" w:firstLine="720"/>
        <w:jc w:val="both"/>
        <w:spacing w:before="0" w:after="0" w:line="240" w:lineRule="auto"/>
        <w:shd w:val="clear" w:color="auto" w:fill="auto"/>
        <w:tabs>
          <w:tab w:val="left" w:pos="452" w:leader="none"/>
          <w:tab w:val="clear" w:pos="708" w:leader="none"/>
        </w:tabs>
        <w:rPr>
          <w:color w:val="000000" w:themeColor="text1"/>
        </w:rPr>
        <w:suppressLineNumbers w:val="0"/>
      </w:pPr>
      <w:r>
        <w:t xml:space="preserve">3.1. В обоснование стоимости заявки, Участник должен предоставить «Коммерческое предложение» по форме, приведённой в До</w:t>
      </w:r>
      <w:r>
        <w:rPr>
          <w:color w:val="000000" w:themeColor="text1"/>
        </w:rPr>
        <w:t xml:space="preserve">кументации о закупке.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71"/>
        <w:numPr>
          <w:ilvl w:val="0"/>
          <w:numId w:val="19"/>
        </w:numPr>
        <w:ind w:right="220" w:firstLine="720"/>
        <w:jc w:val="both"/>
        <w:spacing w:before="0" w:after="0" w:line="240" w:lineRule="auto"/>
        <w:shd w:val="clear" w:color="auto" w:fill="auto"/>
        <w:tabs>
          <w:tab w:val="left" w:pos="452" w:leader="none"/>
          <w:tab w:val="clear" w:pos="708" w:leader="none"/>
        </w:tabs>
        <w:rPr>
          <w:color w:val="000000" w:themeColor="text1"/>
        </w:rPr>
        <w:suppressLineNumbers w:val="0"/>
      </w:pPr>
      <w:r>
        <w:rPr>
          <w:color w:val="000000" w:themeColor="text1"/>
        </w:rPr>
        <w:t xml:space="preserve">3.2. В составе предложения участник не предоставляет сметную документацию.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71"/>
        <w:ind w:right="220" w:firstLine="720"/>
        <w:jc w:val="both"/>
        <w:spacing w:before="0" w:after="0" w:line="240" w:lineRule="auto"/>
        <w:shd w:val="clear" w:color="auto" w:fill="auto"/>
        <w:tabs>
          <w:tab w:val="left" w:pos="452" w:leader="none"/>
          <w:tab w:val="clear" w:pos="708" w:leader="none"/>
        </w:tabs>
        <w:rPr>
          <w:color w:val="000000" w:themeColor="text1"/>
        </w:rPr>
        <w:suppressLineNumbers w:val="0"/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72"/>
        <w:numPr>
          <w:ilvl w:val="0"/>
          <w:numId w:val="19"/>
        </w:numPr>
        <w:jc w:val="center"/>
        <w:spacing w:before="0" w:after="210" w:line="220" w:lineRule="exact"/>
        <w:shd w:val="clear" w:color="auto" w:fill="auto"/>
        <w:tabs>
          <w:tab w:val="left" w:pos="368" w:leader="none"/>
          <w:tab w:val="clear" w:pos="708" w:leader="none"/>
        </w:tabs>
        <w:rPr>
          <w:color w:val="000000" w:themeColor="text1"/>
        </w:rPr>
      </w:pPr>
      <w:r>
        <w:rPr>
          <w:color w:val="000000" w:themeColor="text1"/>
        </w:rPr>
        <w:t xml:space="preserve">4. Требования к документации по ценообразованию на этапе заключения (исполнения) договора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71"/>
        <w:numPr>
          <w:ilvl w:val="0"/>
          <w:numId w:val="19"/>
        </w:numPr>
        <w:ind w:firstLine="720"/>
        <w:jc w:val="both"/>
        <w:spacing w:before="0" w:after="0" w:afterAutospacing="0" w:line="240" w:lineRule="auto"/>
        <w:shd w:val="clear" w:color="auto" w:fill="auto"/>
        <w:rPr>
          <w:color w:val="000000" w:themeColor="text1"/>
        </w:rPr>
        <w:suppressLineNumbers w:val="0"/>
      </w:pPr>
      <w:r>
        <w:rPr>
          <w:color w:val="000000" w:themeColor="text1"/>
        </w:rPr>
        <w:t xml:space="preserve">Разработка сметной документации/калькуляции осуществляется при заключении и исполнении договора в соответствии со следующими требованиями: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71"/>
        <w:numPr>
          <w:ilvl w:val="0"/>
          <w:numId w:val="19"/>
        </w:numPr>
        <w:ind w:firstLine="720"/>
        <w:jc w:val="both"/>
        <w:spacing w:before="0" w:after="0" w:afterAutospacing="0" w:line="240" w:lineRule="auto"/>
        <w:shd w:val="clear" w:color="auto" w:fill="auto"/>
        <w:tabs>
          <w:tab w:val="clear" w:pos="708" w:leader="none"/>
          <w:tab w:val="left" w:pos="908" w:leader="none"/>
        </w:tabs>
        <w:rPr>
          <w:color w:val="000000" w:themeColor="text1"/>
        </w:rPr>
        <w:suppressLineNumbers w:val="0"/>
      </w:pPr>
      <w:r>
        <w:rPr>
          <w:color w:val="000000" w:themeColor="text1"/>
        </w:rPr>
        <w:t xml:space="preserve">на стадии заключения Договора Исполнитель представляет Сводный сметный расчет, локальные сметные расчеты (калькуляции), составленные на основании нормативных справочников и соответствующие итоговой сумме заявки.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71"/>
        <w:numPr>
          <w:ilvl w:val="0"/>
          <w:numId w:val="19"/>
        </w:numPr>
        <w:ind w:firstLine="720"/>
        <w:jc w:val="both"/>
        <w:spacing w:before="0" w:after="0" w:afterAutospacing="0" w:line="240" w:lineRule="auto"/>
        <w:shd w:val="clear" w:color="auto" w:fill="auto"/>
        <w:tabs>
          <w:tab w:val="clear" w:pos="708" w:leader="none"/>
          <w:tab w:val="left" w:pos="908" w:leader="none"/>
        </w:tabs>
        <w:rPr>
          <w:color w:val="000000" w:themeColor="text1"/>
        </w:rPr>
        <w:suppressLineNumbers w:val="0"/>
      </w:pPr>
      <w:r>
        <w:rPr>
          <w:color w:val="000000" w:themeColor="text1"/>
        </w:rPr>
        <w:t xml:space="preserve">При определении затрат на основании Прейскуранта на экспериментально-наладочные работы фирмы ОРГРЭС базисно-индексным методом индекс перевода в текущие цены учитывать в размере к=158 без учета деноминации 1998 года ( к=0,158 с учетом деноминации). 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71"/>
        <w:numPr>
          <w:ilvl w:val="0"/>
          <w:numId w:val="19"/>
        </w:numPr>
        <w:ind w:firstLine="720"/>
        <w:jc w:val="both"/>
        <w:spacing w:before="0" w:after="0" w:afterAutospacing="0" w:line="240" w:lineRule="auto"/>
        <w:shd w:val="clear" w:color="auto" w:fill="auto"/>
        <w:tabs>
          <w:tab w:val="clear" w:pos="708" w:leader="none"/>
          <w:tab w:val="left" w:pos="913" w:leader="none"/>
        </w:tabs>
        <w:rPr>
          <w:color w:val="000000" w:themeColor="text1"/>
        </w:rPr>
        <w:suppressLineNumbers w:val="0"/>
      </w:pPr>
      <w:r>
        <w:rPr>
          <w:color w:val="000000" w:themeColor="text1"/>
        </w:rPr>
        <w:t xml:space="preserve">При отсутствии расценок в СБЦ допустимо определить стоимость услуг по форме ЗП (по трудозатратам) и предоставить Калькуляцию на весь объем услуг, указанных в Техническом </w:t>
      </w:r>
      <w:r>
        <w:rPr>
          <w:color w:val="000000" w:themeColor="text1"/>
        </w:rPr>
        <w:t xml:space="preserve">задании, все предполагаемые затраты исполнителя, обязательные платежи, стоимость всех сопутствующих услуг (Методическое пособие по определению стоимости инженерных изысканий для строительства, введено в действие Письмом Госстроя России от 31 марта 2004 г. </w:t>
      </w:r>
      <w:r>
        <w:rPr>
          <w:color w:val="000000" w:themeColor="text1"/>
          <w:lang w:val="en-US" w:eastAsia="en-US" w:bidi="en-US"/>
        </w:rPr>
        <w:t xml:space="preserve">N</w:t>
      </w:r>
      <w:r>
        <w:rPr>
          <w:color w:val="000000" w:themeColor="text1"/>
          <w:lang w:eastAsia="en-US" w:bidi="en-US"/>
        </w:rPr>
        <w:t xml:space="preserve"> </w:t>
      </w:r>
      <w:r>
        <w:rPr>
          <w:color w:val="000000" w:themeColor="text1"/>
        </w:rPr>
        <w:t xml:space="preserve">НЗ-2078/10) с приложением расчета за</w:t>
      </w:r>
      <w:r>
        <w:rPr>
          <w:color w:val="000000" w:themeColor="text1"/>
        </w:rPr>
        <w:t xml:space="preserve">работной платы на основании установленных в Организации штатных окладов и в соответствии с Положением об оплате труда. Уровень заработной платы, накладных расходов и рентабельности должны быть подтверждены справкой, заверенной директором и гл. бухгалтером.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71"/>
        <w:numPr>
          <w:ilvl w:val="0"/>
          <w:numId w:val="20"/>
        </w:numPr>
        <w:ind w:firstLine="720"/>
        <w:jc w:val="both"/>
        <w:spacing w:before="0" w:after="0" w:afterAutospacing="0" w:line="240" w:lineRule="auto"/>
        <w:shd w:val="clear" w:color="auto" w:fill="auto"/>
        <w:suppressLineNumbers w:val="0"/>
      </w:pPr>
      <w:r>
        <w:rPr>
          <w:color w:val="000000" w:themeColor="text1"/>
        </w:rPr>
        <w:t xml:space="preserve">- Командировочные расходы в случае их учета в сметах или расчетах определяются по предварительному расчету с расшифровкой затрат на проезд, проживание, суточные расходы, при этом </w:t>
      </w:r>
      <w:r>
        <w:rPr>
          <w:color w:val="000000" w:themeColor="text1"/>
        </w:rPr>
        <w:t xml:space="preserve">размер суточных не должен превышать 700 руб/сутки  . Заказчик имеет право в период действия Договора запросить у Подрядчика копии первичных документов, платёжных поручений, реестры и т.д. для проверки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соответствия суммы командировочных расходов фактическим</w:t>
      </w:r>
      <w:r>
        <w:t xml:space="preserve"> затратам.</w:t>
      </w:r>
      <w:r/>
    </w:p>
    <w:p>
      <w:pPr>
        <w:pStyle w:val="861"/>
        <w:ind w:left="0" w:firstLine="0"/>
        <w:jc w:val="both"/>
        <w:shd w:val="clear" w:color="auto" w:fill="ffffff"/>
        <w:tabs>
          <w:tab w:val="clear" w:pos="708" w:leader="none"/>
          <w:tab w:val="left" w:pos="709" w:leader="none"/>
        </w:tabs>
        <w:rPr>
          <w:highlight w:val="white"/>
        </w:rPr>
      </w:pPr>
      <w:r>
        <w:rPr>
          <w:color w:val="000000" w:themeColor="text1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61"/>
        <w:ind w:left="0" w:firstLine="0"/>
        <w:jc w:val="both"/>
        <w:shd w:val="clear" w:color="auto" w:fill="ffffff"/>
        <w:tabs>
          <w:tab w:val="clear" w:pos="708" w:leader="none"/>
          <w:tab w:val="left" w:pos="709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61"/>
        <w:ind w:left="0" w:firstLine="0"/>
        <w:jc w:val="center"/>
        <w:shd w:val="clear" w:color="auto" w:fill="ffffff"/>
        <w:tabs>
          <w:tab w:val="clear" w:pos="708" w:leader="none"/>
          <w:tab w:val="left" w:pos="709" w:leader="none"/>
        </w:tabs>
        <w:rPr>
          <w:b/>
          <w:bCs/>
          <w:highlight w:val="none"/>
        </w:rPr>
      </w:pPr>
      <w:r/>
      <w:bookmarkStart w:id="22" w:name="_Toc51339699"/>
      <w:r/>
      <w:bookmarkStart w:id="23" w:name="_Toc46743519"/>
      <w:r>
        <w:rPr>
          <w:b/>
          <w:bCs/>
          <w:iCs/>
          <w:sz w:val="24"/>
          <w:szCs w:val="24"/>
        </w:rPr>
        <w:t xml:space="preserve">5. Приложения</w:t>
      </w:r>
      <w:bookmarkEnd w:id="22"/>
      <w:r/>
      <w:bookmarkEnd w:id="23"/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774"/>
        <w:jc w:val="both"/>
        <w:spacing w:before="0" w:after="120"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774"/>
        <w:jc w:val="both"/>
        <w:spacing w:before="0" w:after="120"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 1 - Ведомость объемов работ</w:t>
      </w:r>
      <w:r>
        <w:rPr>
          <w:sz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861"/>
        <w:ind w:left="0" w:firstLine="0"/>
        <w:jc w:val="both"/>
        <w:spacing w:line="360" w:lineRule="auto"/>
        <w:shd w:val="clear" w:color="auto" w:fill="ffffff"/>
        <w:rPr>
          <w:highlight w:val="none"/>
        </w:rPr>
      </w:pPr>
      <w:r>
        <w:t xml:space="preserve">Приложение № 2 – </w:t>
      </w:r>
      <w:r>
        <w:rPr>
          <w:bCs/>
          <w:sz w:val="24"/>
          <w:szCs w:val="24"/>
        </w:rPr>
        <w:t xml:space="preserve">Локальные нормативные акты Заказчика</w:t>
      </w:r>
      <w:r>
        <w:rPr>
          <w:sz w:val="24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774"/>
        <w:jc w:val="both"/>
        <w:spacing w:before="0" w:after="120"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sectPr>
      <w:headerReference w:type="default" r:id="rId12"/>
      <w:headerReference w:type="first" r:id="rId13"/>
      <w:footnotePr/>
      <w:endnotePr/>
      <w:type w:val="nextPage"/>
      <w:pgSz w:w="11906" w:h="16838" w:orient="portrait"/>
      <w:pgMar w:top="992" w:right="851" w:bottom="680" w:left="1134" w:header="68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Times New Roman (???????? ?????">
    <w:panose1 w:val="02020603050405020304"/>
  </w:font>
  <w:font w:name="Calibri Light (Заголовки)">
    <w:panose1 w:val="020F0502020204030204"/>
  </w:font>
  <w:font w:name="Wingdings">
    <w:panose1 w:val="05010000000000000000"/>
  </w:font>
  <w:font w:name="Liberation Sans">
    <w:panose1 w:val="020B0604020202020204"/>
  </w:font>
  <w:font w:name="Courier New">
    <w:panose1 w:val="02070309020205020404"/>
  </w:font>
  <w:font w:name="OpenSymbol">
    <w:panose1 w:val="05010000000000000000"/>
  </w:font>
  <w:font w:name="Noto Sans CJK SC">
    <w:panose1 w:val="020B0502040504020204"/>
  </w:font>
  <w:font w:name="Tahoma">
    <w:panose1 w:val="020B060403050404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7"/>
      <w:jc w:val="center"/>
      <w:rPr>
        <w:sz w:val="24"/>
        <w:szCs w:val="24"/>
      </w:rPr>
    </w:pPr>
    <w:r>
      <w:fldChar w:fldCharType="begin"/>
    </w:r>
    <w:r>
      <w:instrText xml:space="preserve"> PAGE </w:instrText>
    </w:r>
    <w:r>
      <w:fldChar w:fldCharType="separate"/>
    </w:r>
    <w:r>
      <w:t xml:space="preserve">5</w:t>
    </w:r>
    <w:r>
      <w:fldChar w:fldCharType="end"/>
    </w:r>
    <w:r>
      <w:rPr>
        <w:sz w:val="24"/>
        <w:szCs w:val="24"/>
      </w:rPr>
    </w:r>
    <w:r>
      <w:rPr>
        <w:sz w:val="24"/>
        <w:szCs w:val="24"/>
      </w:rPr>
    </w:r>
  </w:p>
  <w:p>
    <w:pPr>
      <w:pStyle w:val="85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7"/>
      <w:jc w:val="center"/>
      <w:rPr>
        <w:sz w:val="24"/>
        <w:szCs w:val="24"/>
      </w:rPr>
    </w:pPr>
    <w:r>
      <w:fldChar w:fldCharType="begin"/>
    </w:r>
    <w:r>
      <w:instrText xml:space="preserve"> PAGE </w:instrText>
    </w:r>
    <w:r>
      <w:fldChar w:fldCharType="separate"/>
    </w:r>
    <w:r>
      <w:t xml:space="preserve">16</w:t>
    </w:r>
    <w:r>
      <w:fldChar w:fldCharType="end"/>
    </w:r>
    <w:r>
      <w:rPr>
        <w:sz w:val="24"/>
        <w:szCs w:val="24"/>
      </w:rPr>
    </w:r>
    <w:r>
      <w:rPr>
        <w:sz w:val="24"/>
        <w:szCs w:val="24"/>
      </w:rPr>
    </w:r>
  </w:p>
  <w:p>
    <w:pPr>
      <w:pStyle w:val="857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7"/>
      <w:jc w:val="center"/>
      <w:rPr>
        <w:sz w:val="24"/>
        <w:szCs w:val="24"/>
      </w:rPr>
    </w:pPr>
    <w:r>
      <w:fldChar w:fldCharType="begin"/>
    </w:r>
    <w:r>
      <w:instrText xml:space="preserve"> PAGE </w:instrText>
    </w:r>
    <w:r>
      <w:fldChar w:fldCharType="separate"/>
    </w:r>
    <w:r>
      <w:t xml:space="preserve">17</w:t>
    </w:r>
    <w:r>
      <w:fldChar w:fldCharType="end"/>
    </w:r>
    <w:r>
      <w:rPr>
        <w:sz w:val="24"/>
        <w:szCs w:val="24"/>
      </w:rPr>
    </w:r>
    <w:r>
      <w:rPr>
        <w:sz w:val="24"/>
        <w:szCs w:val="24"/>
      </w:rPr>
    </w:r>
  </w:p>
  <w:p>
    <w:pPr>
      <w:pStyle w:val="857"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1"/>
      <w:ind w:left="0" w:firstLine="0"/>
      <w:jc w:val="both"/>
      <w:spacing w:before="0" w:after="494" w:line="312" w:lineRule="exact"/>
      <w:shd w:val="clear" w:color="auto" w:fill="auto"/>
    </w:pPr>
    <w:r>
      <w:rPr>
        <w:color w:val="000000" w:themeColor="text1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777"/>
      <w:isLgl w:val="false"/>
      <w:suff w:val="tab"/>
      <w:lvlText w:val="%1.%2.%3."/>
      <w:lvlJc w:val="left"/>
      <w:pPr>
        <w:ind w:left="1354" w:hanging="504"/>
        <w:tabs>
          <w:tab w:val="num" w:pos="0" w:leader="none"/>
        </w:tabs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pStyle w:val="859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pStyle w:val="860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134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854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574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294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14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734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454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74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894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1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73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45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17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9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61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33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5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77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  <w:tabs>
          <w:tab w:val="num" w:pos="0" w:leader="none"/>
        </w:tabs>
      </w:pPr>
      <w:rPr>
        <w:rFonts w:hint="default" w:ascii="Courier New" w:hAnsi="Courier New" w:cs="Courier New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54" w:hanging="360"/>
        <w:tabs>
          <w:tab w:val="num" w:pos="0" w:leader="none"/>
        </w:tabs>
      </w:pPr>
      <w:rPr>
        <w:rFonts w:hint="default" w:ascii="Courier New" w:hAnsi="Courier New" w:cs="Courier New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74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4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4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4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4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4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4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4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  <w:tabs>
          <w:tab w:val="num" w:pos="0" w:leader="none"/>
        </w:tabs>
      </w:pPr>
      <w:rPr>
        <w:rFonts w:hint="default" w:ascii="Arial" w:hAnsi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13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4">
    <w:multiLevelType w:val="hybridMultilevel"/>
    <w:lvl w:ilvl="0">
      <w:start w:val="1"/>
      <w:numFmt w:val="bullet"/>
      <w:isLgl w:val="false"/>
      <w:suff w:val="nothing"/>
      <w:lvlText w:val=""/>
      <w:lvlJc w:val="left"/>
      <w:pPr>
        <w:ind w:left="375" w:firstLine="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"/>
      <w:lvlJc w:val="left"/>
      <w:pPr>
        <w:ind w:left="1418" w:hanging="283"/>
        <w:tabs>
          <w:tab w:val="num" w:pos="1418" w:leader="none"/>
        </w:tabs>
      </w:pPr>
      <w:rPr>
        <w:rFonts w:hint="default" w:ascii="Symbol" w:hAnsi="Symbol" w:cs="Symbol"/>
      </w:rPr>
    </w:lvl>
    <w:lvl w:ilvl="2">
      <w:start w:val="1"/>
      <w:numFmt w:val="bullet"/>
      <w:isLgl w:val="false"/>
      <w:suff w:val="tab"/>
      <w:lvlText w:val=""/>
      <w:lvlJc w:val="left"/>
      <w:pPr>
        <w:ind w:left="2127" w:hanging="283"/>
        <w:tabs>
          <w:tab w:val="num" w:pos="2127" w:leader="none"/>
        </w:tabs>
      </w:pPr>
      <w:rPr>
        <w:rFonts w:hint="default" w:ascii="Symbol" w:hAnsi="Symbol" w:cs="Symbol"/>
      </w:rPr>
    </w:lvl>
    <w:lvl w:ilvl="3">
      <w:start w:val="1"/>
      <w:numFmt w:val="bullet"/>
      <w:isLgl w:val="false"/>
      <w:suff w:val="tab"/>
      <w:lvlText w:val=""/>
      <w:lvlJc w:val="left"/>
      <w:pPr>
        <w:ind w:left="2836" w:hanging="283"/>
        <w:tabs>
          <w:tab w:val="num" w:pos="2836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"/>
      <w:lvlJc w:val="left"/>
      <w:pPr>
        <w:ind w:left="3545" w:hanging="283"/>
        <w:tabs>
          <w:tab w:val="num" w:pos="3545" w:leader="none"/>
        </w:tabs>
      </w:pPr>
      <w:rPr>
        <w:rFonts w:hint="default" w:ascii="Symbol" w:hAnsi="Symbol" w:cs="Symbol"/>
      </w:rPr>
    </w:lvl>
    <w:lvl w:ilvl="5">
      <w:start w:val="1"/>
      <w:numFmt w:val="bullet"/>
      <w:isLgl w:val="false"/>
      <w:suff w:val="tab"/>
      <w:lvlText w:val=""/>
      <w:lvlJc w:val="left"/>
      <w:pPr>
        <w:ind w:left="4254" w:hanging="283"/>
        <w:tabs>
          <w:tab w:val="num" w:pos="4254" w:leader="none"/>
        </w:tabs>
      </w:pPr>
      <w:rPr>
        <w:rFonts w:hint="default" w:ascii="Symbol" w:hAnsi="Symbol" w:cs="Symbol"/>
      </w:rPr>
    </w:lvl>
    <w:lvl w:ilvl="6">
      <w:start w:val="1"/>
      <w:numFmt w:val="bullet"/>
      <w:isLgl w:val="false"/>
      <w:suff w:val="tab"/>
      <w:lvlText w:val=""/>
      <w:lvlJc w:val="left"/>
      <w:pPr>
        <w:ind w:left="4963" w:hanging="283"/>
        <w:tabs>
          <w:tab w:val="num" w:pos="4963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"/>
      <w:lvlJc w:val="left"/>
      <w:pPr>
        <w:ind w:left="5672" w:hanging="283"/>
        <w:tabs>
          <w:tab w:val="num" w:pos="5672" w:leader="none"/>
        </w:tabs>
      </w:pPr>
      <w:rPr>
        <w:rFonts w:hint="default" w:ascii="Symbol" w:hAnsi="Symbol" w:cs="Symbol"/>
      </w:rPr>
    </w:lvl>
    <w:lvl w:ilvl="8">
      <w:start w:val="1"/>
      <w:numFmt w:val="bullet"/>
      <w:isLgl w:val="false"/>
      <w:suff w:val="tab"/>
      <w:lvlText w:val=""/>
      <w:lvlJc w:val="left"/>
      <w:pPr>
        <w:ind w:left="6381" w:hanging="283"/>
        <w:tabs>
          <w:tab w:val="num" w:pos="6381" w:leader="none"/>
        </w:tabs>
      </w:pPr>
      <w:rPr>
        <w:rFonts w:hint="default" w:ascii="Symbol" w:hAnsi="Symbol" w:cs="Symbol"/>
      </w:rPr>
    </w:lvl>
  </w:abstractNum>
  <w:abstractNum w:abstractNumId="15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9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74" w:default="1">
    <w:name w:val="Normal"/>
    <w:qFormat/>
    <w:pPr>
      <w:jc w:val="left"/>
      <w:spacing w:before="0" w:beforeAutospacing="0" w:after="0" w:afterAutospacing="0" w:line="240" w:lineRule="auto"/>
      <w:widowControl/>
    </w:pPr>
    <w:rPr>
      <w:rFonts w:ascii="Times New Roman" w:hAnsi="Times New Roman" w:eastAsia="Times New Roman" w:cs="Times New Roman"/>
      <w:color w:val="auto"/>
      <w:sz w:val="28"/>
      <w:szCs w:val="28"/>
      <w:lang w:val="ru-RU" w:eastAsia="ru-RU" w:bidi="ar-SA"/>
    </w:rPr>
  </w:style>
  <w:style w:type="paragraph" w:styleId="775">
    <w:name w:val="Heading 1"/>
    <w:basedOn w:val="777"/>
    <w:next w:val="774"/>
    <w:link w:val="822"/>
    <w:qFormat/>
    <w:pPr>
      <w:numPr>
        <w:ilvl w:val="0"/>
      </w:numPr>
      <w:outlineLvl w:val="0"/>
    </w:pPr>
    <w:rPr>
      <w:sz w:val="28"/>
      <w:szCs w:val="28"/>
    </w:rPr>
  </w:style>
  <w:style w:type="paragraph" w:styleId="776">
    <w:name w:val="Heading 2"/>
    <w:basedOn w:val="774"/>
    <w:next w:val="774"/>
    <w:link w:val="79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77">
    <w:name w:val="Heading 3"/>
    <w:basedOn w:val="774"/>
    <w:next w:val="774"/>
    <w:link w:val="823"/>
    <w:qFormat/>
    <w:pPr>
      <w:numPr>
        <w:ilvl w:val="2"/>
        <w:numId w:val="1"/>
      </w:numPr>
      <w:ind w:left="1224" w:firstLine="0"/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778">
    <w:name w:val="Heading 4"/>
    <w:basedOn w:val="777"/>
    <w:next w:val="774"/>
    <w:link w:val="824"/>
    <w:qFormat/>
    <w:pPr>
      <w:numPr>
        <w:ilvl w:val="1"/>
      </w:numPr>
      <w:outlineLvl w:val="3"/>
    </w:pPr>
    <w:rPr>
      <w:bCs/>
    </w:rPr>
  </w:style>
  <w:style w:type="paragraph" w:styleId="779">
    <w:name w:val="Heading 5"/>
    <w:basedOn w:val="774"/>
    <w:next w:val="774"/>
    <w:link w:val="80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80">
    <w:name w:val="Heading 6"/>
    <w:basedOn w:val="774"/>
    <w:next w:val="774"/>
    <w:link w:val="80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81">
    <w:name w:val="Heading 7"/>
    <w:basedOn w:val="774"/>
    <w:next w:val="774"/>
    <w:link w:val="80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82">
    <w:name w:val="Heading 8"/>
    <w:basedOn w:val="774"/>
    <w:next w:val="774"/>
    <w:link w:val="80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83">
    <w:name w:val="Heading 9"/>
    <w:basedOn w:val="774"/>
    <w:next w:val="774"/>
    <w:link w:val="80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84" w:default="1">
    <w:name w:val="Default Paragraph Font"/>
    <w:uiPriority w:val="1"/>
    <w:semiHidden/>
    <w:unhideWhenUsed/>
    <w:qFormat/>
  </w:style>
  <w:style w:type="character" w:styleId="785" w:customStyle="1">
    <w:name w:val="Heading 2 Char"/>
    <w:basedOn w:val="784"/>
    <w:uiPriority w:val="9"/>
    <w:qFormat/>
    <w:rPr>
      <w:rFonts w:ascii="Arial" w:hAnsi="Arial" w:eastAsia="Arial" w:cs="Arial"/>
      <w:sz w:val="34"/>
    </w:rPr>
  </w:style>
  <w:style w:type="character" w:styleId="786" w:customStyle="1">
    <w:name w:val="Heading 5 Char"/>
    <w:basedOn w:val="784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87" w:customStyle="1">
    <w:name w:val="Heading 6 Char"/>
    <w:basedOn w:val="784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88" w:customStyle="1">
    <w:name w:val="Heading 7 Char"/>
    <w:basedOn w:val="784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89" w:customStyle="1">
    <w:name w:val="Heading 8 Char"/>
    <w:basedOn w:val="784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90" w:customStyle="1">
    <w:name w:val="Heading 9 Char"/>
    <w:basedOn w:val="784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91" w:customStyle="1">
    <w:name w:val="Title Char"/>
    <w:basedOn w:val="784"/>
    <w:uiPriority w:val="10"/>
    <w:qFormat/>
    <w:rPr>
      <w:sz w:val="48"/>
      <w:szCs w:val="48"/>
    </w:rPr>
  </w:style>
  <w:style w:type="character" w:styleId="792" w:customStyle="1">
    <w:name w:val="Subtitle Char"/>
    <w:basedOn w:val="784"/>
    <w:uiPriority w:val="11"/>
    <w:qFormat/>
    <w:rPr>
      <w:sz w:val="24"/>
      <w:szCs w:val="24"/>
    </w:rPr>
  </w:style>
  <w:style w:type="character" w:styleId="793" w:customStyle="1">
    <w:name w:val="Quote Char"/>
    <w:uiPriority w:val="29"/>
    <w:qFormat/>
    <w:rPr>
      <w:i/>
    </w:rPr>
  </w:style>
  <w:style w:type="character" w:styleId="794" w:customStyle="1">
    <w:name w:val="Intense Quote Char"/>
    <w:uiPriority w:val="30"/>
    <w:qFormat/>
    <w:rPr>
      <w:i/>
    </w:rPr>
  </w:style>
  <w:style w:type="character" w:styleId="795" w:customStyle="1">
    <w:name w:val="Footnote Text Char"/>
    <w:uiPriority w:val="99"/>
    <w:qFormat/>
    <w:rPr>
      <w:sz w:val="18"/>
    </w:rPr>
  </w:style>
  <w:style w:type="character" w:styleId="796" w:customStyle="1">
    <w:name w:val="Endnote Text Char"/>
    <w:uiPriority w:val="99"/>
    <w:qFormat/>
    <w:rPr>
      <w:sz w:val="20"/>
    </w:rPr>
  </w:style>
  <w:style w:type="character" w:styleId="797" w:customStyle="1">
    <w:name w:val="Heading 1 Char"/>
    <w:basedOn w:val="784"/>
    <w:uiPriority w:val="9"/>
    <w:qFormat/>
    <w:rPr>
      <w:rFonts w:ascii="Arial" w:hAnsi="Arial" w:eastAsia="Arial" w:cs="Arial"/>
      <w:sz w:val="40"/>
      <w:szCs w:val="40"/>
    </w:rPr>
  </w:style>
  <w:style w:type="character" w:styleId="798" w:customStyle="1">
    <w:name w:val="Заголовок 2 Знак"/>
    <w:basedOn w:val="784"/>
    <w:uiPriority w:val="9"/>
    <w:qFormat/>
    <w:rPr>
      <w:rFonts w:ascii="Arial" w:hAnsi="Arial" w:eastAsia="Arial" w:cs="Arial"/>
      <w:sz w:val="34"/>
    </w:rPr>
  </w:style>
  <w:style w:type="character" w:styleId="799" w:customStyle="1">
    <w:name w:val="Heading 3 Char"/>
    <w:basedOn w:val="784"/>
    <w:uiPriority w:val="9"/>
    <w:qFormat/>
    <w:rPr>
      <w:rFonts w:ascii="Arial" w:hAnsi="Arial" w:eastAsia="Arial" w:cs="Arial"/>
      <w:sz w:val="30"/>
      <w:szCs w:val="30"/>
    </w:rPr>
  </w:style>
  <w:style w:type="character" w:styleId="800" w:customStyle="1">
    <w:name w:val="Heading 4 Char"/>
    <w:basedOn w:val="784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801" w:customStyle="1">
    <w:name w:val="Заголовок 5 Знак"/>
    <w:basedOn w:val="784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802" w:customStyle="1">
    <w:name w:val="Заголовок 6 Знак"/>
    <w:basedOn w:val="784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803" w:customStyle="1">
    <w:name w:val="Заголовок 7 Знак"/>
    <w:basedOn w:val="784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04" w:customStyle="1">
    <w:name w:val="Заголовок 8 Знак"/>
    <w:basedOn w:val="784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805" w:customStyle="1">
    <w:name w:val="Заголовок 9 Знак"/>
    <w:basedOn w:val="784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06" w:customStyle="1">
    <w:name w:val="Название Знак"/>
    <w:basedOn w:val="784"/>
    <w:uiPriority w:val="10"/>
    <w:qFormat/>
    <w:rPr>
      <w:sz w:val="48"/>
      <w:szCs w:val="48"/>
    </w:rPr>
  </w:style>
  <w:style w:type="character" w:styleId="807" w:customStyle="1">
    <w:name w:val="Подзаголовок Знак"/>
    <w:basedOn w:val="784"/>
    <w:uiPriority w:val="11"/>
    <w:qFormat/>
    <w:rPr>
      <w:sz w:val="24"/>
      <w:szCs w:val="24"/>
    </w:rPr>
  </w:style>
  <w:style w:type="character" w:styleId="808" w:customStyle="1">
    <w:name w:val="Цитата 2 Знак"/>
    <w:link w:val="840"/>
    <w:uiPriority w:val="29"/>
    <w:qFormat/>
    <w:rPr>
      <w:i/>
    </w:rPr>
  </w:style>
  <w:style w:type="character" w:styleId="809" w:customStyle="1">
    <w:name w:val="Выделенная цитата Знак"/>
    <w:link w:val="841"/>
    <w:uiPriority w:val="30"/>
    <w:qFormat/>
    <w:rPr>
      <w:i/>
    </w:rPr>
  </w:style>
  <w:style w:type="character" w:styleId="810" w:customStyle="1">
    <w:name w:val="Header Char"/>
    <w:basedOn w:val="784"/>
    <w:uiPriority w:val="99"/>
    <w:qFormat/>
  </w:style>
  <w:style w:type="character" w:styleId="811" w:customStyle="1">
    <w:name w:val="Footer Char"/>
    <w:basedOn w:val="784"/>
    <w:uiPriority w:val="99"/>
    <w:qFormat/>
  </w:style>
  <w:style w:type="character" w:styleId="812" w:customStyle="1">
    <w:name w:val="Caption Char"/>
    <w:uiPriority w:val="99"/>
    <w:qFormat/>
  </w:style>
  <w:style w:type="character" w:styleId="813" w:customStyle="1">
    <w:name w:val="Текст сноски Знак"/>
    <w:uiPriority w:val="99"/>
    <w:qFormat/>
    <w:rPr>
      <w:sz w:val="18"/>
    </w:rPr>
  </w:style>
  <w:style w:type="character" w:styleId="814">
    <w:name w:val="Символ сноски"/>
    <w:uiPriority w:val="99"/>
    <w:unhideWhenUsed/>
    <w:qFormat/>
    <w:rPr>
      <w:vertAlign w:val="superscript"/>
    </w:rPr>
  </w:style>
  <w:style w:type="character" w:styleId="815">
    <w:name w:val="footnote reference"/>
    <w:rPr>
      <w:vertAlign w:val="superscript"/>
    </w:rPr>
  </w:style>
  <w:style w:type="character" w:styleId="816" w:customStyle="1">
    <w:name w:val="Текст концевой сноски Знак"/>
    <w:uiPriority w:val="99"/>
    <w:qFormat/>
    <w:rPr>
      <w:sz w:val="20"/>
    </w:rPr>
  </w:style>
  <w:style w:type="character" w:styleId="817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818">
    <w:name w:val="endnote reference"/>
    <w:rPr>
      <w:vertAlign w:val="superscript"/>
    </w:rPr>
  </w:style>
  <w:style w:type="character" w:styleId="819">
    <w:name w:val="Hyperlink"/>
    <w:uiPriority w:val="99"/>
    <w:rPr>
      <w:color w:val="0000ff"/>
      <w:u w:val="single"/>
    </w:rPr>
  </w:style>
  <w:style w:type="character" w:styleId="820" w:customStyle="1">
    <w:name w:val="Верхний колонтитул Знак"/>
    <w:basedOn w:val="784"/>
    <w:uiPriority w:val="99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821" w:customStyle="1">
    <w:name w:val="Нижний колонтитул Знак"/>
    <w:basedOn w:val="784"/>
    <w:uiPriority w:val="99"/>
    <w:qFormat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822" w:customStyle="1">
    <w:name w:val="Заголовок 1 Знак"/>
    <w:basedOn w:val="784"/>
    <w:qFormat/>
    <w:rPr>
      <w:rFonts w:ascii="Times New Roman" w:hAnsi="Times New Roman" w:eastAsia="Calibri" w:cs="Times New Roman"/>
      <w:b/>
      <w:sz w:val="28"/>
      <w:szCs w:val="28"/>
      <w:lang w:eastAsia="ru-RU"/>
    </w:rPr>
  </w:style>
  <w:style w:type="character" w:styleId="823" w:customStyle="1">
    <w:name w:val="Заголовок 3 Знак"/>
    <w:basedOn w:val="784"/>
    <w:qFormat/>
    <w:rPr>
      <w:rFonts w:ascii="Times New Roman" w:hAnsi="Times New Roman" w:eastAsia="Calibri" w:cs="Times New Roman"/>
      <w:b/>
      <w:sz w:val="24"/>
      <w:szCs w:val="24"/>
      <w:lang w:eastAsia="ru-RU"/>
    </w:rPr>
  </w:style>
  <w:style w:type="character" w:styleId="824" w:customStyle="1">
    <w:name w:val="Заголовок 4 Знак"/>
    <w:basedOn w:val="784"/>
    <w:qFormat/>
    <w:rPr>
      <w:rFonts w:ascii="Times New Roman" w:hAnsi="Times New Roman" w:eastAsia="Calibri" w:cs="Times New Roman"/>
      <w:b/>
      <w:bCs/>
      <w:sz w:val="24"/>
      <w:szCs w:val="24"/>
      <w:lang w:eastAsia="ru-RU"/>
    </w:rPr>
  </w:style>
  <w:style w:type="character" w:styleId="825" w:customStyle="1">
    <w:name w:val="комментарий"/>
    <w:qFormat/>
    <w:rPr>
      <w:b/>
      <w:i/>
      <w:shd w:val="clear" w:color="auto" w:fill="ffff99"/>
    </w:rPr>
  </w:style>
  <w:style w:type="character" w:styleId="826" w:customStyle="1">
    <w:name w:val="Абзац списка Знак"/>
    <w:link w:val="861"/>
    <w:uiPriority w:val="34"/>
    <w:qFormat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827" w:customStyle="1">
    <w:name w:val="Текст примечания Знак"/>
    <w:basedOn w:val="784"/>
    <w:link w:val="864"/>
    <w:semiHidden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28" w:customStyle="1">
    <w:name w:val="Текст выноски Знак"/>
    <w:basedOn w:val="784"/>
    <w:link w:val="865"/>
    <w:uiPriority w:val="99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829">
    <w:name w:val="Ссылка указателя"/>
    <w:qFormat/>
  </w:style>
  <w:style w:type="character" w:styleId="830">
    <w:name w:val="Маркеры"/>
    <w:qFormat/>
    <w:rPr>
      <w:rFonts w:ascii="OpenSymbol" w:hAnsi="OpenSymbol" w:eastAsia="OpenSymbol" w:cs="OpenSymbol"/>
    </w:rPr>
  </w:style>
  <w:style w:type="character" w:styleId="831">
    <w:name w:val="Strong"/>
    <w:qFormat/>
    <w:rPr>
      <w:b/>
      <w:bCs/>
    </w:rPr>
  </w:style>
  <w:style w:type="paragraph" w:styleId="832">
    <w:name w:val="Заголовок"/>
    <w:basedOn w:val="774"/>
    <w:next w:val="833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833">
    <w:name w:val="Body Text"/>
    <w:basedOn w:val="774"/>
    <w:pPr>
      <w:spacing w:before="0" w:after="140" w:line="276" w:lineRule="auto"/>
    </w:pPr>
  </w:style>
  <w:style w:type="paragraph" w:styleId="834">
    <w:name w:val="List"/>
    <w:basedOn w:val="833"/>
    <w:rPr>
      <w:rFonts w:cs="Arial Unicode MS"/>
    </w:rPr>
  </w:style>
  <w:style w:type="paragraph" w:styleId="835">
    <w:name w:val="Caption"/>
    <w:basedOn w:val="774"/>
    <w:next w:val="774"/>
    <w:link w:val="812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836">
    <w:name w:val="Указатель"/>
    <w:basedOn w:val="774"/>
    <w:qFormat/>
    <w:pPr>
      <w:suppressLineNumbers/>
    </w:pPr>
    <w:rPr>
      <w:rFonts w:cs="Arial Unicode MS"/>
    </w:rPr>
  </w:style>
  <w:style w:type="paragraph" w:styleId="837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838">
    <w:name w:val="Title"/>
    <w:basedOn w:val="774"/>
    <w:next w:val="774"/>
    <w:link w:val="806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839">
    <w:name w:val="Subtitle"/>
    <w:basedOn w:val="774"/>
    <w:next w:val="774"/>
    <w:link w:val="807"/>
    <w:uiPriority w:val="11"/>
    <w:qFormat/>
    <w:pPr>
      <w:spacing w:before="200" w:after="200"/>
    </w:pPr>
    <w:rPr>
      <w:sz w:val="24"/>
      <w:szCs w:val="24"/>
    </w:rPr>
  </w:style>
  <w:style w:type="paragraph" w:styleId="840">
    <w:name w:val="Quote"/>
    <w:basedOn w:val="774"/>
    <w:next w:val="774"/>
    <w:link w:val="808"/>
    <w:uiPriority w:val="29"/>
    <w:qFormat/>
    <w:pPr>
      <w:ind w:left="720" w:right="720" w:firstLine="0"/>
    </w:pPr>
    <w:rPr>
      <w:i/>
    </w:rPr>
  </w:style>
  <w:style w:type="paragraph" w:styleId="841">
    <w:name w:val="Intense Quote"/>
    <w:basedOn w:val="774"/>
    <w:next w:val="774"/>
    <w:link w:val="809"/>
    <w:uiPriority w:val="30"/>
    <w:qFormat/>
    <w:pPr>
      <w:ind w:left="720" w:right="720" w:firstLine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42">
    <w:name w:val="footnote text"/>
    <w:basedOn w:val="774"/>
    <w:link w:val="813"/>
    <w:uiPriority w:val="99"/>
    <w:semiHidden/>
    <w:unhideWhenUsed/>
    <w:pPr>
      <w:spacing w:before="0" w:after="40"/>
    </w:pPr>
    <w:rPr>
      <w:sz w:val="18"/>
    </w:rPr>
  </w:style>
  <w:style w:type="paragraph" w:styleId="843">
    <w:name w:val="endnote text"/>
    <w:basedOn w:val="774"/>
    <w:link w:val="816"/>
    <w:uiPriority w:val="99"/>
    <w:semiHidden/>
    <w:unhideWhenUsed/>
    <w:rPr>
      <w:sz w:val="20"/>
    </w:rPr>
  </w:style>
  <w:style w:type="paragraph" w:styleId="844">
    <w:name w:val="toc 2"/>
    <w:basedOn w:val="774"/>
    <w:next w:val="774"/>
    <w:uiPriority w:val="39"/>
    <w:unhideWhenUsed/>
    <w:pPr>
      <w:ind w:left="283" w:firstLine="0"/>
      <w:spacing w:before="0" w:after="57"/>
    </w:pPr>
  </w:style>
  <w:style w:type="paragraph" w:styleId="845">
    <w:name w:val="toc 3"/>
    <w:basedOn w:val="774"/>
    <w:next w:val="774"/>
    <w:uiPriority w:val="39"/>
    <w:unhideWhenUsed/>
    <w:pPr>
      <w:ind w:left="567" w:firstLine="0"/>
      <w:spacing w:before="0" w:after="57"/>
    </w:pPr>
  </w:style>
  <w:style w:type="paragraph" w:styleId="846">
    <w:name w:val="toc 5"/>
    <w:basedOn w:val="774"/>
    <w:next w:val="774"/>
    <w:uiPriority w:val="39"/>
    <w:unhideWhenUsed/>
    <w:pPr>
      <w:ind w:left="1134" w:firstLine="0"/>
      <w:spacing w:before="0" w:after="57"/>
    </w:pPr>
  </w:style>
  <w:style w:type="paragraph" w:styleId="847">
    <w:name w:val="toc 6"/>
    <w:basedOn w:val="774"/>
    <w:next w:val="774"/>
    <w:uiPriority w:val="39"/>
    <w:unhideWhenUsed/>
    <w:pPr>
      <w:ind w:left="1417" w:firstLine="0"/>
      <w:spacing w:before="0" w:after="57"/>
    </w:pPr>
  </w:style>
  <w:style w:type="paragraph" w:styleId="848">
    <w:name w:val="toc 7"/>
    <w:basedOn w:val="774"/>
    <w:next w:val="774"/>
    <w:uiPriority w:val="39"/>
    <w:unhideWhenUsed/>
    <w:pPr>
      <w:ind w:left="1701" w:firstLine="0"/>
      <w:spacing w:before="0" w:after="57"/>
    </w:pPr>
  </w:style>
  <w:style w:type="paragraph" w:styleId="849">
    <w:name w:val="toc 8"/>
    <w:basedOn w:val="774"/>
    <w:next w:val="774"/>
    <w:uiPriority w:val="39"/>
    <w:unhideWhenUsed/>
    <w:pPr>
      <w:ind w:left="1984" w:firstLine="0"/>
      <w:spacing w:before="0" w:after="57"/>
    </w:pPr>
  </w:style>
  <w:style w:type="paragraph" w:styleId="850">
    <w:name w:val="toc 9"/>
    <w:basedOn w:val="774"/>
    <w:next w:val="774"/>
    <w:uiPriority w:val="39"/>
    <w:unhideWhenUsed/>
    <w:pPr>
      <w:ind w:left="2268" w:firstLine="0"/>
      <w:spacing w:before="0" w:after="57"/>
    </w:pPr>
  </w:style>
  <w:style w:type="paragraph" w:styleId="851">
    <w:name w:val="Index Heading"/>
    <w:basedOn w:val="832"/>
  </w:style>
  <w:style w:type="paragraph" w:styleId="852">
    <w:name w:val="TOC Heading"/>
    <w:uiPriority w:val="39"/>
    <w:unhideWhenUsed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853">
    <w:name w:val="table of figures"/>
    <w:basedOn w:val="774"/>
    <w:next w:val="774"/>
    <w:uiPriority w:val="99"/>
    <w:unhideWhenUsed/>
    <w:qFormat/>
  </w:style>
  <w:style w:type="paragraph" w:styleId="854">
    <w:name w:val="toc 1"/>
    <w:basedOn w:val="774"/>
    <w:next w:val="774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855">
    <w:name w:val="toc 4"/>
    <w:basedOn w:val="774"/>
    <w:next w:val="774"/>
    <w:uiPriority w:val="39"/>
    <w:pPr>
      <w:ind w:left="560" w:firstLine="0"/>
    </w:pPr>
    <w:rPr>
      <w:rFonts w:cs="Calibri" w:cstheme="minorHAnsi"/>
      <w:sz w:val="20"/>
      <w:szCs w:val="20"/>
    </w:rPr>
  </w:style>
  <w:style w:type="paragraph" w:styleId="856">
    <w:name w:val="Колонтитул"/>
    <w:basedOn w:val="774"/>
    <w:qFormat/>
  </w:style>
  <w:style w:type="paragraph" w:styleId="857">
    <w:name w:val="Header"/>
    <w:basedOn w:val="774"/>
    <w:link w:val="820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58">
    <w:name w:val="Footer"/>
    <w:basedOn w:val="774"/>
    <w:link w:val="821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59" w:customStyle="1">
    <w:name w:val="Раздел положения"/>
    <w:basedOn w:val="774"/>
    <w:qFormat/>
    <w:pPr>
      <w:numPr>
        <w:ilvl w:val="0"/>
        <w:numId w:val="2"/>
      </w:numPr>
      <w:jc w:val="center"/>
      <w:spacing w:before="80" w:after="80"/>
    </w:pPr>
    <w:rPr>
      <w:b/>
      <w:sz w:val="32"/>
      <w:szCs w:val="32"/>
    </w:rPr>
  </w:style>
  <w:style w:type="paragraph" w:styleId="860" w:customStyle="1">
    <w:name w:val="Подраздел раздела положения"/>
    <w:basedOn w:val="774"/>
    <w:qFormat/>
    <w:pPr>
      <w:numPr>
        <w:ilvl w:val="1"/>
        <w:numId w:val="2"/>
      </w:numPr>
      <w:jc w:val="both"/>
      <w:spacing w:before="80" w:after="80"/>
    </w:pPr>
  </w:style>
  <w:style w:type="paragraph" w:styleId="861">
    <w:name w:val="List Paragraph"/>
    <w:basedOn w:val="774"/>
    <w:link w:val="826"/>
    <w:uiPriority w:val="34"/>
    <w:qFormat/>
    <w:pPr>
      <w:contextualSpacing/>
      <w:ind w:left="720" w:firstLine="0"/>
      <w:spacing w:before="0" w:after="0"/>
    </w:pPr>
    <w:rPr>
      <w:rFonts w:eastAsia="Calibri"/>
      <w:sz w:val="24"/>
      <w:szCs w:val="24"/>
    </w:rPr>
  </w:style>
  <w:style w:type="paragraph" w:styleId="862" w:customStyle="1">
    <w:name w:val="Таблица шапка"/>
    <w:basedOn w:val="774"/>
    <w:qFormat/>
    <w:pPr>
      <w:ind w:left="57" w:right="57" w:firstLine="0"/>
      <w:keepNext/>
      <w:spacing w:before="40" w:after="40"/>
    </w:pPr>
    <w:rPr>
      <w:sz w:val="22"/>
      <w:szCs w:val="26"/>
    </w:rPr>
  </w:style>
  <w:style w:type="paragraph" w:styleId="863" w:customStyle="1">
    <w:name w:val="Таблица"/>
    <w:basedOn w:val="774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864">
    <w:name w:val="annotation text"/>
    <w:basedOn w:val="774"/>
    <w:link w:val="827"/>
    <w:semiHidden/>
    <w:qFormat/>
    <w:rPr>
      <w:sz w:val="20"/>
      <w:szCs w:val="20"/>
    </w:rPr>
  </w:style>
  <w:style w:type="paragraph" w:styleId="865">
    <w:name w:val="Balloon Text"/>
    <w:basedOn w:val="774"/>
    <w:link w:val="82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866" w:customStyle="1">
    <w:name w:val="Абзац списка;Table-Normal;RSHB_Table-Normal;Заголовок_3;Подпись рисунка;Алроса_маркер (Уровень 4);Маркер;ПАРАГРАФ;Абзац списка2;Bullet List;FooterText;numbered;Абзац основного текста;Текстовая"/>
    <w:basedOn w:val="778"/>
    <w:uiPriority w:val="34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u w:val="none"/>
      <w:vertAlign w:val="baseline"/>
      <w:lang w:val="ru-RU" w:eastAsia="ru-RU" w:bidi="ar-SA"/>
      <w14:ligatures w14:val="none"/>
    </w:rPr>
  </w:style>
  <w:style w:type="paragraph" w:styleId="867" w:customStyle="1">
    <w:name w:val="[РГ] Текст"/>
    <w:qFormat/>
    <w:pPr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</w:pPr>
    <w:rPr>
      <w:rFonts w:ascii="Times New Roman" w:hAnsi="Times New Roman" w:eastAsia="Times New Roman" w:cs="Times New Roman (???????? ?????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6"/>
      <w:szCs w:val="24"/>
      <w:u w:val="none"/>
      <w:vertAlign w:val="baseline"/>
      <w:lang w:val="ru-RU" w:eastAsia="en-US" w:bidi="ar-SA"/>
      <w14:ligatures w14:val="none"/>
    </w:rPr>
  </w:style>
  <w:style w:type="paragraph" w:styleId="868" w:customStyle="1">
    <w:name w:val="Normal (Web)"/>
    <w:uiPriority w:val="99"/>
    <w:unhideWhenUsed/>
    <w:qFormat/>
    <w:pPr>
      <w:ind w:left="0" w:right="0" w:firstLine="0"/>
      <w:jc w:val="left"/>
      <w:keepLines w:val="0"/>
      <w:keepNext w:val="0"/>
      <w:pageBreakBefore w:val="0"/>
      <w:spacing w:beforeAutospacing="1" w:afterAutospacing="1" w:line="240" w:lineRule="auto"/>
      <w:shd w:val="nil"/>
      <w:widowControl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u w:val="none"/>
      <w:vertAlign w:val="baseline"/>
      <w:lang w:val="ru-RU" w:eastAsia="ru-RU" w:bidi="ar-SA"/>
      <w14:ligatures w14:val="none"/>
    </w:rPr>
  </w:style>
  <w:style w:type="paragraph" w:styleId="869">
    <w:name w:val="Содержимое таблицы"/>
    <w:basedOn w:val="774"/>
    <w:qFormat/>
    <w:pPr>
      <w:widowControl w:val="off"/>
      <w:suppressLineNumbers/>
    </w:pPr>
  </w:style>
  <w:style w:type="paragraph" w:styleId="870">
    <w:name w:val="Заголовок таблицы"/>
    <w:basedOn w:val="869"/>
    <w:qFormat/>
    <w:pPr>
      <w:jc w:val="center"/>
      <w:suppressLineNumbers/>
    </w:pPr>
    <w:rPr>
      <w:b/>
      <w:bCs/>
    </w:rPr>
  </w:style>
  <w:style w:type="paragraph" w:styleId="871">
    <w:name w:val="Основной текст (2)"/>
    <w:basedOn w:val="774"/>
    <w:qFormat/>
    <w:pPr>
      <w:jc w:val="center"/>
      <w:spacing w:before="180" w:after="0" w:line="0" w:lineRule="atLeast"/>
      <w:shd w:val="clear" w:color="auto" w:fill="ffffff"/>
    </w:pPr>
    <w:rPr>
      <w:sz w:val="22"/>
      <w:szCs w:val="22"/>
    </w:rPr>
  </w:style>
  <w:style w:type="paragraph" w:styleId="872">
    <w:name w:val="Основной текст (4)"/>
    <w:basedOn w:val="774"/>
    <w:qFormat/>
    <w:pPr>
      <w:jc w:val="center"/>
      <w:spacing w:before="0" w:after="180" w:line="0" w:lineRule="atLeast"/>
      <w:shd w:val="clear" w:color="auto" w:fill="ffffff"/>
    </w:pPr>
    <w:rPr>
      <w:b/>
      <w:bCs/>
      <w:sz w:val="22"/>
      <w:szCs w:val="22"/>
    </w:rPr>
  </w:style>
  <w:style w:type="numbering" w:styleId="873" w:default="1">
    <w:name w:val="No List"/>
    <w:uiPriority w:val="99"/>
    <w:semiHidden/>
    <w:unhideWhenUsed/>
    <w:qFormat/>
  </w:style>
  <w:style w:type="table" w:styleId="874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75" w:customStyle="1">
    <w:name w:val="Table Grid Light"/>
    <w:basedOn w:val="87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76" w:customStyle="1">
    <w:name w:val="Plain Table 1"/>
    <w:basedOn w:val="87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877" w:customStyle="1">
    <w:name w:val="Plain Table 2"/>
    <w:basedOn w:val="87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878" w:customStyle="1">
    <w:name w:val="Plain Table 3"/>
    <w:basedOn w:val="8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79" w:customStyle="1">
    <w:name w:val="Plain Table 4"/>
    <w:basedOn w:val="8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Plain Table 5"/>
    <w:basedOn w:val="8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1 Light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Grid Table 1 Light - Accent 1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Grid Table 1 Light - Accent 2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Grid Table 1 Light - Accent 3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Grid Table 1 Light - Accent 4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Grid Table 1 Light - Accent 5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Grid Table 1 Light - Accent 6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Grid Table 2"/>
    <w:basedOn w:val="8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Grid Table 2 - Accent 1"/>
    <w:basedOn w:val="8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1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Grid Table 2 - Accent 2"/>
    <w:basedOn w:val="8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Grid Table 2 - Accent 3"/>
    <w:basedOn w:val="8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Grid Table 2 - Accent 4"/>
    <w:basedOn w:val="8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Grid Table 2 - Accent 5"/>
    <w:basedOn w:val="8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Grid Table 2 - Accent 6"/>
    <w:basedOn w:val="8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Grid Table 3"/>
    <w:basedOn w:val="8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Grid Table 3 - Accent 1"/>
    <w:basedOn w:val="8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1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Grid Table 3 - Accent 2"/>
    <w:basedOn w:val="8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Grid Table 3 - Accent 3"/>
    <w:basedOn w:val="8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Grid Table 3 - Accent 4"/>
    <w:basedOn w:val="8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Grid Table 3 - Accent 5"/>
    <w:basedOn w:val="8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Grid Table 3 - Accent 6"/>
    <w:basedOn w:val="8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Grid Table 4"/>
    <w:basedOn w:val="8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03" w:customStyle="1">
    <w:name w:val="Grid Table 4 - Accent 1"/>
    <w:basedOn w:val="8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eebf6" w:fill="deebf6" w:themeFill="accent1" w:themeFillTint="32"/>
      </w:tcPr>
    </w:tblStylePr>
    <w:tblStylePr w:type="band1Vert">
      <w:rPr>
        <w:color w:val="404040"/>
        <w:sz w:val="22"/>
      </w:rPr>
      <w:tcPr>
        <w:shd w:val="clear" w:color="deebf6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68a2d8" w:fill="68a2d8" w:themeFill="accent1" w:themeFillTint="EA"/>
        <w:tcBorders>
          <w:top w:val="single" w:color="68A2D8" w:themeColor="accent1" w:sz="4" w:space="0"/>
          <w:left w:val="single" w:color="68A2D8" w:themeColor="accent1" w:sz="4" w:space="0"/>
          <w:bottom w:val="single" w:color="68A2D8" w:themeColor="accent1" w:sz="4" w:space="0"/>
          <w:right w:val="single" w:color="68A2D8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sz="4" w:space="0"/>
        </w:tcBorders>
      </w:tcPr>
    </w:tblStylePr>
  </w:style>
  <w:style w:type="table" w:styleId="904" w:customStyle="1">
    <w:name w:val="Grid Table 4 - Accent 2"/>
    <w:basedOn w:val="8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sz="4" w:space="0"/>
        </w:tcBorders>
      </w:tcPr>
    </w:tblStylePr>
  </w:style>
  <w:style w:type="table" w:styleId="905" w:customStyle="1">
    <w:name w:val="Grid Table 4 - Accent 3"/>
    <w:basedOn w:val="8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 w:themeFillTint="FE"/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</w:tcBorders>
      </w:tcPr>
    </w:tblStylePr>
  </w:style>
  <w:style w:type="table" w:styleId="906" w:customStyle="1">
    <w:name w:val="Grid Table 4 - Accent 4"/>
    <w:basedOn w:val="8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sz="4" w:space="0"/>
        </w:tcBorders>
      </w:tcPr>
    </w:tblStylePr>
  </w:style>
  <w:style w:type="table" w:styleId="907" w:customStyle="1">
    <w:name w:val="Grid Table 4 - Accent 5"/>
    <w:basedOn w:val="8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908" w:customStyle="1">
    <w:name w:val="Grid Table 4 - Accent 6"/>
    <w:basedOn w:val="8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909" w:customStyle="1">
    <w:name w:val="Grid Table 5 Dark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910" w:customStyle="1">
    <w:name w:val="Grid Table 5 Dark- Accent 1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3d0eb" w:fill="b3d0eb" w:themeFill="accent1" w:themeFillTint="75"/>
      </w:tcPr>
    </w:tblStylePr>
    <w:tblStylePr w:type="band1Vert">
      <w:tcPr>
        <w:shd w:val="clear" w:color="b3d0eb" w:fill="b3d0eb" w:themeFill="accent1" w:themeFillTint="75"/>
      </w:tcPr>
    </w:tblStylePr>
    <w:tblStylePr w:type="firstCol">
      <w:rPr>
        <w:b/>
        <w:color w:val="ffffff"/>
        <w:sz w:val="22"/>
      </w:rPr>
      <w:tcPr>
        <w:shd w:val="clear" w:color="5b9bd5" w:fill="5b9bd5" w:themeFill="accent1"/>
      </w:tcPr>
    </w:tblStylePr>
    <w:tblStylePr w:type="firstRow">
      <w:rPr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cPr>
        <w:shd w:val="clear" w:color="5b9bd5" w:fill="5b9bd5" w:themeFill="accent1"/>
        <w:tcBorders>
          <w:top w:val="single" w:color="FFFFFF" w:themeColor="light1" w:sz="4" w:space="0"/>
        </w:tcBorders>
      </w:tcPr>
    </w:tblStylePr>
  </w:style>
  <w:style w:type="table" w:styleId="911" w:customStyle="1">
    <w:name w:val="Grid Table 5 Dark - Accent 2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6c3a0" w:fill="f6c3a0" w:themeFill="accent2" w:themeFillTint="75"/>
      </w:tcPr>
    </w:tblStylePr>
    <w:tblStylePr w:type="band1Vert">
      <w:tcPr>
        <w:shd w:val="clear" w:color="f6c3a0" w:fill="f6c3a0" w:themeFill="accent2" w:themeFillTint="75"/>
      </w:tcPr>
    </w:tblStylePr>
    <w:tblStylePr w:type="firstCol">
      <w:rPr>
        <w:b/>
        <w:color w:val="ffffff"/>
        <w:sz w:val="22"/>
      </w:rPr>
      <w:tcPr>
        <w:shd w:val="clear" w:color="ed7d31" w:fill="ed7d31" w:themeFill="accent2"/>
      </w:tc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cPr>
        <w:shd w:val="clear" w:color="ed7d31" w:fill="ed7d31" w:themeFill="accent2"/>
        <w:tcBorders>
          <w:top w:val="single" w:color="FFFFFF" w:themeColor="light1" w:sz="4" w:space="0"/>
        </w:tcBorders>
      </w:tcPr>
    </w:tblStylePr>
  </w:style>
  <w:style w:type="table" w:styleId="912" w:customStyle="1">
    <w:name w:val="Grid Table 5 Dark - Accent 3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5d5d5" w:fill="d5d5d5" w:themeFill="accent3" w:themeFillTint="75"/>
      </w:tcPr>
    </w:tblStylePr>
    <w:tblStylePr w:type="band1Vert">
      <w:tcPr>
        <w:shd w:val="clear" w:color="d5d5d5" w:fill="d5d5d5" w:themeFill="accent3" w:themeFillTint="75"/>
      </w:tcPr>
    </w:tblStylePr>
    <w:tblStylePr w:type="firstCol">
      <w:rPr>
        <w:b/>
        <w:color w:val="ffffff"/>
        <w:sz w:val="22"/>
      </w:rPr>
      <w:tcPr>
        <w:shd w:val="clear" w:color="a5a5a5" w:fill="a5a5a5" w:themeFill="accent3"/>
      </w:tc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cPr>
        <w:shd w:val="clear" w:color="a5a5a5" w:fill="a5a5a5" w:themeFill="accent3"/>
        <w:tcBorders>
          <w:top w:val="single" w:color="FFFFFF" w:themeColor="light1" w:sz="4" w:space="0"/>
        </w:tcBorders>
      </w:tcPr>
    </w:tblStylePr>
  </w:style>
  <w:style w:type="table" w:styleId="913" w:customStyle="1">
    <w:name w:val="Grid Table 5 Dark- Accent 4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e28a" w:fill="ffe28a" w:themeFill="accent4" w:themeFillTint="75"/>
      </w:tcPr>
    </w:tblStylePr>
    <w:tblStylePr w:type="band1Vert">
      <w:tcPr>
        <w:shd w:val="clear" w:color="ffe28a" w:fill="ffe28a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c000" w:fill="ffc000" w:themeFill="accent4"/>
      </w:tc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cPr>
        <w:shd w:val="clear" w:color="ffc000" w:fill="ffc000" w:themeFill="accent4"/>
        <w:tcBorders>
          <w:top w:val="single" w:color="FFFFFF" w:themeColor="light1" w:sz="4" w:space="0"/>
        </w:tcBorders>
      </w:tcPr>
    </w:tblStylePr>
  </w:style>
  <w:style w:type="table" w:styleId="914" w:customStyle="1">
    <w:name w:val="Grid Table 5 Dark - Accent 5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9bee4" w:fill="a9bee4" w:themeFill="accent5" w:themeFillTint="75"/>
      </w:tcPr>
    </w:tblStylePr>
    <w:tblStylePr w:type="band1Vert">
      <w:tcPr>
        <w:shd w:val="clear" w:color="a9bee4" w:fill="a9be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4472c4" w:fill="4472c4" w:themeFill="accent5"/>
      </w:tcPr>
    </w:tblStylePr>
    <w:tblStylePr w:type="firstRow">
      <w:rPr>
        <w:b/>
        <w:color w:val="ffffff"/>
        <w:sz w:val="22"/>
      </w:rPr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cPr>
        <w:shd w:val="clear" w:color="4472c4" w:fill="4472c4" w:themeFill="accent5"/>
        <w:tcBorders>
          <w:top w:val="single" w:color="FFFFFF" w:themeColor="light1" w:sz="4" w:space="0"/>
        </w:tcBorders>
      </w:tcPr>
    </w:tblStylePr>
  </w:style>
  <w:style w:type="table" w:styleId="915" w:customStyle="1">
    <w:name w:val="Grid Table 5 Dark - Accent 6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cdba8" w:fill="bcdba8" w:themeFill="accent6" w:themeFillTint="75"/>
      </w:tcPr>
    </w:tblStylePr>
    <w:tblStylePr w:type="band1Vert">
      <w:tcPr>
        <w:shd w:val="clear" w:color="bcdba8" w:fill="bcdba8" w:themeFill="accent6" w:themeFillTint="75"/>
      </w:tcPr>
    </w:tblStylePr>
    <w:tblStylePr w:type="firstCol">
      <w:rPr>
        <w:b/>
        <w:color w:val="ffffff"/>
        <w:sz w:val="22"/>
      </w:rPr>
      <w:tcPr>
        <w:shd w:val="clear" w:color="70ad47" w:fill="70ad47" w:themeFill="accent6"/>
      </w:tc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cPr>
        <w:shd w:val="clear" w:color="70ad47" w:fill="70ad47" w:themeFill="accent6"/>
        <w:tcBorders>
          <w:top w:val="single" w:color="FFFFFF" w:themeColor="light1" w:sz="4" w:space="0"/>
        </w:tcBorders>
      </w:tcPr>
    </w:tblStylePr>
  </w:style>
  <w:style w:type="table" w:styleId="916" w:customStyle="1">
    <w:name w:val="Grid Table 6 Colorful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17" w:customStyle="1">
    <w:name w:val="Grid Table 6 Colorful - Accent 1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val="accce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918" w:customStyle="1">
    <w:name w:val="Grid Table 6 Colorful - Accent 2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919" w:customStyle="1">
    <w:name w:val="Grid Table 6 Colorful - Accent 3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920" w:customStyle="1">
    <w:name w:val="Grid Table 6 Colorful - Accent 4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921" w:customStyle="1">
    <w:name w:val="Grid Table 6 Colorful - Accent 5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22" w:customStyle="1">
    <w:name w:val="Grid Table 6 Colorful - Accent 6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23" w:customStyle="1">
    <w:name w:val="Grid Table 7 Colorful"/>
    <w:basedOn w:val="8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Grid Table 7 Colorful - Accent 1"/>
    <w:basedOn w:val="8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val="accce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  <w:tblStylePr w:type="firstCol">
      <w:rPr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sz="4" w:space="0"/>
        </w:tcBorders>
      </w:tcPr>
    </w:tblStylePr>
    <w:tblStylePr w:type="firstRow">
      <w:rPr>
        <w:b/>
        <w:color w:val="acccea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sz="4" w:space="0"/>
          <w:right w:val="none" w:color="000000" w:sz="4" w:space="0"/>
        </w:tcBorders>
      </w:tcPr>
    </w:tblStylePr>
    <w:tblStylePr w:type="lastCol">
      <w:rPr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cccea" w:themeColor="accent1" w:themeTint="80" w:themeShade="95"/>
        <w:sz w:val="22"/>
      </w:rPr>
      <w:tcPr>
        <w:shd w:val="clear" w:color="ffffff" w:fill="ffffff" w:themeFill="light1"/>
        <w:tcBorders>
          <w:top w:val="single" w:color="ACCCEA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Grid Table 7 Colorful - Accent 2"/>
    <w:basedOn w:val="8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</w:tcPr>
    </w:tblStylePr>
    <w:tblStylePr w:type="fir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Grid Table 7 Colorful - Accent 3"/>
    <w:basedOn w:val="8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</w:tcPr>
    </w:tblStylePr>
    <w:tblStylePr w:type="fir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Grid Table 7 Colorful - Accent 4"/>
    <w:basedOn w:val="8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</w:tcPr>
    </w:tblStylePr>
    <w:tblStylePr w:type="fir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Grid Table 7 Colorful - Accent 5"/>
    <w:basedOn w:val="8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sz="4" w:space="0"/>
        </w:tcBorders>
      </w:tcPr>
    </w:tblStylePr>
    <w:tblStylePr w:type="firstRow">
      <w:rPr>
        <w:b/>
        <w:color w:val="254175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  <w:tblStylePr w:type="lastCol">
      <w:rPr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54175" w:themeColor="accent5" w:themeShade="95"/>
        <w:sz w:val="22"/>
      </w:rPr>
      <w:tcPr>
        <w:shd w:val="clear" w:color="ffffff" w:fill="ffffff" w:themeFill="light1"/>
        <w:tcBorders>
          <w:top w:val="single" w:color="95AFDD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Grid Table 7 Colorful - Accent 6"/>
    <w:basedOn w:val="8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16429" w:themeColor="accent6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  <w:tblStylePr w:type="firstCol">
      <w:rPr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sz="4" w:space="0"/>
        </w:tcBorders>
      </w:tcPr>
    </w:tblStylePr>
    <w:tblStylePr w:type="fir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single" w:color="ADD394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List Table 1 Light"/>
    <w:basedOn w:val="8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List Table 1 Light - Accent 1"/>
    <w:basedOn w:val="8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List Table 1 Light - Accent 2"/>
    <w:basedOn w:val="8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List Table 1 Light - Accent 3"/>
    <w:basedOn w:val="8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List Table 1 Light - Accent 4"/>
    <w:basedOn w:val="8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 w:customStyle="1">
    <w:name w:val="List Table 1 Light - Accent 5"/>
    <w:basedOn w:val="8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 w:customStyle="1">
    <w:name w:val="List Table 1 Light - Accent 6"/>
    <w:basedOn w:val="8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 w:customStyle="1">
    <w:name w:val="List Table 2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styleId="938" w:customStyle="1">
    <w:name w:val="List Table 2 - Accent 1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5e5f4" w:fill="d5e5f4" w:themeFill="accent1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</w:style>
  <w:style w:type="table" w:styleId="939" w:customStyle="1">
    <w:name w:val="List Table 2 - Accent 2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</w:style>
  <w:style w:type="table" w:styleId="940" w:customStyle="1">
    <w:name w:val="List Table 2 - Accent 3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</w:style>
  <w:style w:type="table" w:styleId="941" w:customStyle="1">
    <w:name w:val="List Table 2 - Accent 4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</w:style>
  <w:style w:type="table" w:styleId="942" w:customStyle="1">
    <w:name w:val="List Table 2 - Accent 5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cfdbf0" w:fill="cfdbf0" w:themeFill="accent5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</w:style>
  <w:style w:type="table" w:styleId="943" w:customStyle="1">
    <w:name w:val="List Table 2 - Accent 6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</w:style>
  <w:style w:type="table" w:styleId="944" w:customStyle="1">
    <w:name w:val="List Table 3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 w:customStyle="1">
    <w:name w:val="List Table 3 - Accent 1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 w:customStyle="1">
    <w:name w:val="List Table 3 - Accent 2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 w:customStyle="1">
    <w:name w:val="List Table 3 - Accent 3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9c9c9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 w:customStyle="1">
    <w:name w:val="List Table 3 - Accent 4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 w:customStyle="1">
    <w:name w:val="List Table 3 - Accent 5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8DA9DB" w:themeColor="accent5" w:sz="4" w:space="0"/>
          <w:bottom w:val="single" w:color="8DA9DB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8DA9DB" w:themeColor="accent5" w:sz="4" w:space="0"/>
          <w:right w:val="single" w:color="8DA9DB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8da9db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 w:customStyle="1">
    <w:name w:val="List Table 3 - Accent 6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9d08e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 w:customStyle="1">
    <w:name w:val="List Table 4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 w:customStyle="1">
    <w:name w:val="List Table 4 - Accent 1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5e5f4" w:fill="d5e5f4" w:themeFill="accent1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 w:customStyle="1">
    <w:name w:val="List Table 4 - Accent 2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 w:customStyle="1">
    <w:name w:val="List Table 4 - Accent 3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 w:customStyle="1">
    <w:name w:val="List Table 4 - Accent 4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 w:customStyle="1">
    <w:name w:val="List Table 4 - Accent 5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cfdbf0" w:fill="cfdbf0" w:themeFill="accent5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 w:customStyle="1">
    <w:name w:val="List Table 4 - Accent 6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 w:customStyle="1">
    <w:name w:val="List Table 5 Dark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7F7F7F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59" w:customStyle="1">
    <w:name w:val="List Table 5 Dark - Accent 1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band1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5b9bd5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60" w:customStyle="1">
    <w:name w:val="List Table 5 Dark - Accent 2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band1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4b184" w:fill="f4b184" w:themeFill="accent2" w:themeFillTint="97"/>
        <w:tcBorders>
          <w:top w:val="single" w:color="F4B184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61" w:customStyle="1">
    <w:name w:val="List Table 5 Dark - Accent 3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9c9c9" w:fill="c9c9c9" w:themeFill="accent3" w:themeFillTint="98"/>
        <w:tcBorders>
          <w:top w:val="single" w:color="C9C9C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62" w:customStyle="1">
    <w:name w:val="List Table 5 Dark - Accent 4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band1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d865" w:fill="ffd865" w:themeFill="accent4" w:themeFillTint="9A"/>
        <w:tcBorders>
          <w:top w:val="single" w:color="FFD865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63" w:customStyle="1">
    <w:name w:val="List Table 5 Dark - Accent 5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</w:tblPr>
    <w:tblStylePr w:type="band1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8DA9DB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8da9db" w:fill="8da9db" w:themeFill="accent5" w:themeFillTint="9A"/>
        <w:tcBorders>
          <w:top w:val="single" w:color="8DA9DB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64" w:customStyle="1">
    <w:name w:val="List Table 5 Dark - Accent 6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9d08e" w:fill="a9d08e" w:themeFill="accent6" w:themeFillTint="98"/>
        <w:tcBorders>
          <w:top w:val="single" w:color="A9D08E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65" w:customStyle="1">
    <w:name w:val="List Table 6 Colorful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sz="4" w:space="0"/>
        </w:tcBorders>
      </w:tcPr>
    </w:tblStylePr>
  </w:style>
  <w:style w:type="table" w:styleId="966" w:customStyle="1">
    <w:name w:val="List Table 6 Colorful - Accent 1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color w:val="245a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967" w:customStyle="1">
    <w:name w:val="List Table 6 Colorful - Accent 2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sz="4" w:space="0"/>
        </w:tcBorders>
      </w:tcPr>
    </w:tblStylePr>
  </w:style>
  <w:style w:type="table" w:styleId="968" w:customStyle="1">
    <w:name w:val="List Table 6 Colorful - Accent 3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sz="4" w:space="0"/>
        </w:tcBorders>
      </w:tcPr>
    </w:tblStylePr>
  </w:style>
  <w:style w:type="table" w:styleId="969" w:customStyle="1">
    <w:name w:val="List Table 6 Colorful - Accent 4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sz="4" w:space="0"/>
        </w:tcBorders>
      </w:tcPr>
    </w:tblStylePr>
  </w:style>
  <w:style w:type="table" w:styleId="970" w:customStyle="1">
    <w:name w:val="List Table 6 Colorful - Accent 5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color w:val="8da9db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sz="4" w:space="0"/>
        </w:tcBorders>
      </w:tcPr>
    </w:tblStylePr>
  </w:style>
  <w:style w:type="table" w:styleId="971" w:customStyle="1">
    <w:name w:val="List Table 6 Colorful - Accent 6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sz="4" w:space="0"/>
        </w:tcBorders>
      </w:tcPr>
    </w:tblStylePr>
  </w:style>
  <w:style w:type="table" w:styleId="972" w:customStyle="1">
    <w:name w:val="List Table 7 Colorful"/>
    <w:basedOn w:val="8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 w:customStyle="1">
    <w:name w:val="List Table 7 Colorful - Accent 1"/>
    <w:basedOn w:val="8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color w:val="245a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  <w:tblStylePr w:type="firstCol">
      <w:rPr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i/>
        <w:color w:val="245a8d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45a8d" w:themeColor="accent1" w:themeShade="95"/>
        <w:sz w:val="22"/>
      </w:rPr>
      <w:tcPr>
        <w:shd w:val="clear" w:color="ffffff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 w:customStyle="1">
    <w:name w:val="List Table 7 Colorful - Accent 2"/>
    <w:basedOn w:val="8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</w:tcPr>
    </w:tblStylePr>
    <w:tblStylePr w:type="fir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 w:customStyle="1">
    <w:name w:val="List Table 7 Colorful - Accent 3"/>
    <w:basedOn w:val="8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sz="4" w:space="0"/>
        </w:tcBorders>
      </w:tcPr>
    </w:tblStylePr>
    <w:tblStylePr w:type="fir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sz="4" w:space="0"/>
          <w:right w:val="none" w:color="000000" w:sz="4" w:space="0"/>
        </w:tcBorders>
      </w:tcPr>
    </w:tblStylePr>
    <w:tblStylePr w:type="lastCol">
      <w:rPr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single" w:color="C9C9C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 w:customStyle="1">
    <w:name w:val="List Table 7 Colorful - Accent 4"/>
    <w:basedOn w:val="8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</w:tcPr>
    </w:tblStylePr>
    <w:tblStylePr w:type="fir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 w:customStyle="1">
    <w:name w:val="List Table 7 Colorful - Accent 5"/>
    <w:basedOn w:val="8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color w:val="8da9db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  <w:tblStylePr w:type="firstCol">
      <w:rPr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sz="4" w:space="0"/>
        </w:tcBorders>
      </w:tcPr>
    </w:tblStylePr>
    <w:tblStylePr w:type="firstRow">
      <w:rPr>
        <w:i/>
        <w:color w:val="8da9db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sz="4" w:space="0"/>
          <w:right w:val="none" w:color="000000" w:sz="4" w:space="0"/>
        </w:tcBorders>
      </w:tcPr>
    </w:tblStylePr>
    <w:tblStylePr w:type="lastCol">
      <w:rPr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8da9db" w:themeColor="accent5" w:themeTint="9A" w:themeShade="95"/>
        <w:sz w:val="22"/>
      </w:rPr>
      <w:tcPr>
        <w:shd w:val="clear" w:color="ffffff" w:fill="ffffff" w:themeFill="light1"/>
        <w:tcBorders>
          <w:top w:val="single" w:color="8DA9DB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 w:customStyle="1">
    <w:name w:val="List Table 7 Colorful - Accent 6"/>
    <w:basedOn w:val="8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sz="4" w:space="0"/>
        </w:tcBorders>
      </w:tcPr>
    </w:tblStylePr>
    <w:tblStylePr w:type="fir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sz="4" w:space="0"/>
          <w:right w:val="none" w:color="000000" w:sz="4" w:space="0"/>
        </w:tcBorders>
      </w:tcPr>
    </w:tblStylePr>
    <w:tblStylePr w:type="lastCol">
      <w:rPr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single" w:color="A9D08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 w:customStyle="1">
    <w:name w:val="Lined - Accent"/>
    <w:basedOn w:val="8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980" w:customStyle="1">
    <w:name w:val="Lined - Accent 1"/>
    <w:basedOn w:val="8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bdff1" w:fill="cbdff1" w:themeFill="accent1" w:themeFillTint="50"/>
      </w:tcPr>
    </w:tblStylePr>
    <w:tblStylePr w:type="band2Vert">
      <w:rPr>
        <w:color w:val="404040"/>
        <w:sz w:val="22"/>
      </w:rPr>
      <w:tcPr>
        <w:shd w:val="clear" w:color="cbdff1" w:fill="cbdff1" w:themeFill="accent1" w:themeFillTint="50"/>
      </w:tcPr>
    </w:tblStylePr>
    <w:tblStylePr w:type="fir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firstRow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cPr>
        <w:shd w:val="clear" w:color="68a2d8" w:fill="68a2d8" w:themeFill="accent1" w:themeFillTint="EA"/>
      </w:tcPr>
    </w:tblStylePr>
  </w:style>
  <w:style w:type="table" w:styleId="981" w:customStyle="1">
    <w:name w:val="Lined - Accent 2"/>
    <w:basedOn w:val="8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982" w:customStyle="1">
    <w:name w:val="Lined - Accent 3"/>
    <w:basedOn w:val="8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983" w:customStyle="1">
    <w:name w:val="Lined - Accent 4"/>
    <w:basedOn w:val="8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984" w:customStyle="1">
    <w:name w:val="Lined - Accent 5"/>
    <w:basedOn w:val="8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2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color w:val="f2f2f2"/>
        <w:sz w:val="22"/>
      </w:rPr>
      <w:tcPr>
        <w:shd w:val="clear" w:color="4472c4" w:fill="4472c4" w:themeFill="accent5"/>
      </w:tcPr>
    </w:tblStylePr>
    <w:tblStylePr w:type="firstRow">
      <w:rPr>
        <w:color w:val="f2f2f2"/>
        <w:sz w:val="22"/>
      </w:rPr>
      <w:tcPr>
        <w:shd w:val="clear" w:color="4472c4" w:fill="4472c4" w:themeFill="accent5"/>
      </w:tcPr>
    </w:tblStylePr>
    <w:tblStylePr w:type="lastCol">
      <w:rPr>
        <w:color w:val="f2f2f2"/>
        <w:sz w:val="22"/>
      </w:rPr>
      <w:tcPr>
        <w:shd w:val="clear" w:color="4472c4" w:fill="4472c4" w:themeFill="accent5"/>
      </w:tcPr>
    </w:tblStylePr>
    <w:tblStylePr w:type="lastRow">
      <w:rPr>
        <w:color w:val="f2f2f2"/>
        <w:sz w:val="22"/>
      </w:rPr>
      <w:tcPr>
        <w:shd w:val="clear" w:color="4472c4" w:fill="4472c4" w:themeFill="accent5"/>
      </w:tcPr>
    </w:tblStylePr>
  </w:style>
  <w:style w:type="table" w:styleId="985" w:customStyle="1">
    <w:name w:val="Lined - Accent 6"/>
    <w:basedOn w:val="8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986" w:customStyle="1">
    <w:name w:val="Bordered &amp; Lined - Accent"/>
    <w:basedOn w:val="8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987" w:customStyle="1">
    <w:name w:val="Bordered &amp; Lined - Accent 1"/>
    <w:basedOn w:val="8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sz="4" w:space="0"/>
        <w:left w:val="single" w:color="245A8D" w:themeColor="accent1" w:sz="4" w:space="0"/>
        <w:bottom w:val="single" w:color="245A8D" w:themeColor="accent1" w:sz="4" w:space="0"/>
        <w:right w:val="single" w:color="245A8D" w:themeColor="accent1" w:sz="4" w:space="0"/>
        <w:insideH w:val="single" w:color="245A8D" w:themeColor="accent1" w:sz="4" w:space="0"/>
        <w:insideV w:val="single" w:color="245A8D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bdff1" w:fill="cbdff1" w:themeFill="accent1" w:themeFillTint="50"/>
      </w:tcPr>
    </w:tblStylePr>
    <w:tblStylePr w:type="band2Vert">
      <w:rPr>
        <w:color w:val="404040"/>
        <w:sz w:val="22"/>
      </w:rPr>
      <w:tcPr>
        <w:shd w:val="clear" w:color="cbdff1" w:fill="cbdff1" w:themeFill="accent1" w:themeFillTint="50"/>
      </w:tcPr>
    </w:tblStylePr>
    <w:tblStylePr w:type="fir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firstRow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cPr>
        <w:shd w:val="clear" w:color="68a2d8" w:fill="68a2d8" w:themeFill="accent1" w:themeFillTint="EA"/>
      </w:tcPr>
    </w:tblStylePr>
  </w:style>
  <w:style w:type="table" w:styleId="988" w:customStyle="1">
    <w:name w:val="Bordered &amp; Lined - Accent 2"/>
    <w:basedOn w:val="8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989" w:customStyle="1">
    <w:name w:val="Bordered &amp; Lined - Accent 3"/>
    <w:basedOn w:val="8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990" w:customStyle="1">
    <w:name w:val="Bordered &amp; Lined - Accent 4"/>
    <w:basedOn w:val="8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991" w:customStyle="1">
    <w:name w:val="Bordered &amp; Lined - Accent 5"/>
    <w:basedOn w:val="8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sz="4" w:space="0"/>
        <w:left w:val="single" w:color="254175" w:themeColor="accent5" w:sz="4" w:space="0"/>
        <w:bottom w:val="single" w:color="254175" w:themeColor="accent5" w:sz="4" w:space="0"/>
        <w:right w:val="single" w:color="254175" w:themeColor="accent5" w:sz="4" w:space="0"/>
        <w:insideH w:val="single" w:color="254175" w:themeColor="accent5" w:sz="4" w:space="0"/>
        <w:insideV w:val="single" w:color="254175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2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color w:val="f2f2f2"/>
        <w:sz w:val="22"/>
      </w:rPr>
      <w:tcPr>
        <w:shd w:val="clear" w:color="4472c4" w:fill="4472c4" w:themeFill="accent5"/>
      </w:tcPr>
    </w:tblStylePr>
    <w:tblStylePr w:type="firstRow">
      <w:rPr>
        <w:color w:val="f2f2f2"/>
        <w:sz w:val="22"/>
      </w:rPr>
      <w:tcPr>
        <w:shd w:val="clear" w:color="4472c4" w:fill="4472c4" w:themeFill="accent5"/>
      </w:tcPr>
    </w:tblStylePr>
    <w:tblStylePr w:type="lastCol">
      <w:rPr>
        <w:color w:val="f2f2f2"/>
        <w:sz w:val="22"/>
      </w:rPr>
      <w:tcPr>
        <w:shd w:val="clear" w:color="4472c4" w:fill="4472c4" w:themeFill="accent5"/>
      </w:tcPr>
    </w:tblStylePr>
    <w:tblStylePr w:type="lastRow">
      <w:rPr>
        <w:color w:val="f2f2f2"/>
        <w:sz w:val="22"/>
      </w:rPr>
      <w:tcPr>
        <w:shd w:val="clear" w:color="4472c4" w:fill="4472c4" w:themeFill="accent5"/>
      </w:tcPr>
    </w:tblStylePr>
  </w:style>
  <w:style w:type="table" w:styleId="992" w:customStyle="1">
    <w:name w:val="Bordered &amp; Lined - Accent 6"/>
    <w:basedOn w:val="87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993" w:customStyle="1">
    <w:name w:val="Bordered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7F7F7F" w:themeColor="text1" w:sz="12" w:space="0"/>
        </w:tcBorders>
      </w:tcPr>
    </w:tblStylePr>
  </w:style>
  <w:style w:type="table" w:styleId="994" w:customStyle="1">
    <w:name w:val="Bordered - Accent 1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95" w:customStyle="1">
    <w:name w:val="Bordered - Accent 2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4B184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4B184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4B184" w:themeColor="accent2" w:sz="12" w:space="0"/>
        </w:tcBorders>
      </w:tcPr>
    </w:tblStylePr>
  </w:style>
  <w:style w:type="table" w:styleId="996" w:customStyle="1">
    <w:name w:val="Bordered - Accent 3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C9C9C9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C9C9C9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9C9C9" w:themeColor="accent3" w:sz="12" w:space="0"/>
        </w:tcBorders>
      </w:tcPr>
    </w:tblStylePr>
  </w:style>
  <w:style w:type="table" w:styleId="997" w:customStyle="1">
    <w:name w:val="Bordered - Accent 4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FD865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FD865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FD865" w:themeColor="accent4" w:sz="12" w:space="0"/>
        </w:tcBorders>
      </w:tcPr>
    </w:tblStylePr>
  </w:style>
  <w:style w:type="table" w:styleId="998" w:customStyle="1">
    <w:name w:val="Bordered - Accent 5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8DA9DB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8DA9DB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8DA9DB" w:themeColor="accent5" w:sz="12" w:space="0"/>
        </w:tcBorders>
      </w:tcPr>
    </w:tblStylePr>
  </w:style>
  <w:style w:type="table" w:styleId="999" w:customStyle="1">
    <w:name w:val="Bordered - Accent 6"/>
    <w:basedOn w:val="8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A9D08E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A9D08E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A9D08E" w:themeColor="accent6" w:sz="12" w:space="0"/>
        </w:tcBorders>
      </w:tcPr>
    </w:tblStylePr>
  </w:style>
  <w:style w:type="table" w:styleId="1000">
    <w:name w:val="Table Grid"/>
    <w:basedOn w:val="874"/>
    <w:uiPriority w:val="39"/>
    <w:pPr>
      <w:spacing w:after="0" w:line="240" w:lineRule="auto"/>
    </w:pPr>
    <w:rPr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yperlink" Target="http://www.zakupki.gov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Коломин Олег Станиславович</dc:creator>
  <dc:description/>
  <dc:language>ru-RU</dc:language>
  <cp:lastModifiedBy>lutfullina_ee</cp:lastModifiedBy>
  <cp:revision>158</cp:revision>
  <dcterms:created xsi:type="dcterms:W3CDTF">2023-01-10T06:58:00Z</dcterms:created>
  <dcterms:modified xsi:type="dcterms:W3CDTF">2026-03-05T03:28:35Z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